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1587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center"/>
        <w:rPr>
          <w:rFonts w:hint="eastAsia" w:asciiTheme="minorEastAsia" w:hAnsiTheme="minorEastAsia" w:eastAsiaTheme="minorEastAsia"/>
          <w:b/>
          <w:snapToGrid w:val="0"/>
          <w:kern w:val="0"/>
          <w:sz w:val="72"/>
          <w:szCs w:val="72"/>
          <w:lang w:eastAsia="zh-CN"/>
        </w:rPr>
      </w:pPr>
      <w:r>
        <w:rPr>
          <w:rFonts w:hint="eastAsia" w:asciiTheme="minorEastAsia" w:hAnsiTheme="minorEastAsia" w:eastAsiaTheme="minorEastAsia"/>
          <w:b/>
          <w:bCs/>
          <w:snapToGrid w:val="0"/>
          <w:kern w:val="0"/>
          <w:sz w:val="72"/>
          <w:szCs w:val="72"/>
          <w:lang w:eastAsia="zh-CN"/>
        </w:rPr>
        <w:t>2024深圳市国家基本公共卫生服务项目宣传月活动委托服务</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SZZZ2024-QC0142</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
      <w:pPr>
        <w:pStyle w:val="28"/>
        <w:adjustRightInd w:val="0"/>
        <w:snapToGrid w:val="0"/>
        <w:spacing w:line="300" w:lineRule="auto"/>
        <w:ind w:hanging="835"/>
        <w:jc w:val="center"/>
        <w:rPr>
          <w:b/>
          <w:kern w:val="0"/>
          <w:sz w:val="28"/>
          <w:szCs w:val="28"/>
        </w:rPr>
      </w:pPr>
      <w:r>
        <w:rPr>
          <w:rFonts w:hint="eastAsia"/>
          <w:b/>
          <w:snapToGrid w:val="0"/>
          <w:sz w:val="30"/>
        </w:rPr>
        <w:t>二〇二四年</w:t>
      </w:r>
      <w:r>
        <w:rPr>
          <w:rFonts w:hint="eastAsia"/>
          <w:b/>
          <w:snapToGrid w:val="0"/>
          <w:sz w:val="30"/>
          <w:lang w:val="en-US" w:eastAsia="zh-CN"/>
        </w:rPr>
        <w:t>三</w:t>
      </w:r>
      <w:r>
        <w:rPr>
          <w:rFonts w:hint="eastAsia"/>
          <w:b/>
          <w:snapToGrid w:val="0"/>
          <w:sz w:val="30"/>
        </w:rPr>
        <w:t>月</w:t>
      </w:r>
    </w:p>
    <w:p/>
    <w:p/>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w:t>
      </w:r>
    </w:p>
    <w:p>
      <w:pPr>
        <w:spacing w:line="440" w:lineRule="exact"/>
        <w:ind w:firstLine="480" w:firstLineChars="200"/>
        <w:rPr>
          <w:rFonts w:ascii="仿宋" w:hAnsi="仿宋" w:eastAsia="仿宋"/>
          <w:sz w:val="24"/>
        </w:rPr>
      </w:pPr>
      <w:r>
        <w:rPr>
          <w:rFonts w:hint="eastAsia" w:ascii="仿宋" w:hAnsi="仿宋" w:eastAsia="仿宋"/>
          <w:sz w:val="24"/>
        </w:rPr>
        <w:t>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hint="eastAsia" w:ascii="仿宋" w:hAnsi="仿宋" w:eastAsia="仿宋"/>
          <w:sz w:val="24"/>
          <w:lang w:val="en-US" w:eastAsia="zh-CN"/>
        </w:rPr>
      </w:pPr>
      <w:r>
        <w:rPr>
          <w:rFonts w:hint="eastAsia" w:ascii="仿宋" w:hAnsi="仿宋" w:eastAsia="仿宋"/>
          <w:sz w:val="24"/>
        </w:rPr>
        <w:t>（三）隐瞒真实情况，提供虚假资料的；</w:t>
      </w:r>
      <w:r>
        <w:rPr>
          <w:rFonts w:hint="eastAsia" w:ascii="仿宋" w:hAnsi="仿宋" w:eastAsia="仿宋"/>
          <w:sz w:val="24"/>
          <w:lang w:val="en-US" w:eastAsia="zh-CN"/>
        </w:rPr>
        <w:t xml:space="preserve"> </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第七十五条 供应商有下列情形的，属于采购条例所称的串通投标行为，按照采购条例第五十七条有关规定处理：</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（一）投标供应商之间相互约定给予未中标的供应商利益补偿；</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（三）不同投标供应商的投标文件由同一单位或者同一人编制，或者由同一人分阶段参与编制的；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（四）不同投标供应商的投标文件或部分投标文件相互混装；</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（五）不同投标供应商的投标文件内容存在非正常一致；</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（六）由同一单位工作人员为两家以上（含两家）供应商进行同一项投标活动的；</w:t>
      </w:r>
    </w:p>
    <w:p>
      <w:pPr>
        <w:spacing w:line="440" w:lineRule="exact"/>
        <w:ind w:firstLine="482" w:firstLineChars="200"/>
        <w:rPr>
          <w:rFonts w:ascii="仿宋" w:hAnsi="仿宋" w:eastAsia="仿宋"/>
          <w:b/>
          <w:color w:val="FF0000"/>
          <w:sz w:val="24"/>
        </w:rPr>
      </w:pPr>
      <w:r>
        <w:rPr>
          <w:rFonts w:hint="eastAsia" w:ascii="仿宋" w:hAnsi="仿宋" w:eastAsia="仿宋"/>
          <w:b/>
          <w:color w:val="FF0000"/>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第七十七条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三、《中华人民共和国政府采购法实施条例》</w:t>
      </w:r>
    </w:p>
    <w:p>
      <w:pPr>
        <w:spacing w:line="440" w:lineRule="exact"/>
        <w:ind w:firstLine="424" w:firstLineChars="177"/>
        <w:rPr>
          <w:rFonts w:ascii="仿宋" w:hAnsi="仿宋" w:eastAsia="仿宋"/>
          <w:sz w:val="24"/>
        </w:rPr>
      </w:pPr>
      <w:r>
        <w:rPr>
          <w:rFonts w:hint="eastAsia" w:ascii="仿宋" w:hAnsi="仿宋" w:eastAsia="仿宋"/>
          <w:sz w:val="24"/>
        </w:rPr>
        <w:t>第十八条 单位负责人为同一人或者存在直接控股、管理关系的不同供应商，不得参加同一合同项下的政府采购活动。</w:t>
      </w:r>
    </w:p>
    <w:p>
      <w:pPr>
        <w:spacing w:line="440" w:lineRule="exact"/>
        <w:ind w:firstLine="424" w:firstLineChars="177"/>
        <w:rPr>
          <w:rFonts w:ascii="仿宋" w:hAnsi="仿宋" w:eastAsia="仿宋"/>
          <w:sz w:val="24"/>
        </w:rPr>
      </w:pPr>
      <w:r>
        <w:rPr>
          <w:rFonts w:hint="eastAsia" w:ascii="仿宋" w:hAnsi="仿宋" w:eastAsia="仿宋"/>
          <w:sz w:val="24"/>
        </w:rPr>
        <w:t>除单一来源采购项目外，为采购项目提供整体设计、规范编制或者项目管理、监理、检测等服务的供应商，不得再参加该采购项目的其他采购活动。</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rFonts w:ascii="Times New Roman" w:hAnsi="Times New Roman" w:eastAsia="宋体" w:cs="Times New Roman"/>
              <w:b w:val="0"/>
              <w:bCs w:val="0"/>
              <w:iCs/>
              <w:smallCaps/>
              <w:color w:val="auto"/>
              <w:kern w:val="2"/>
              <w:sz w:val="21"/>
              <w:szCs w:val="24"/>
              <w:lang w:val="zh-CN"/>
            </w:rPr>
          </w:pPr>
        </w:p>
        <w:p>
          <w:pPr>
            <w:pStyle w:val="504"/>
            <w:jc w:val="center"/>
            <w:rPr>
              <w:rFonts w:ascii="Times New Roman" w:hAnsi="Times New Roman" w:eastAsia="宋体" w:cs="Times New Roman"/>
              <w:b w:val="0"/>
              <w:bCs w:val="0"/>
              <w:iCs/>
              <w:smallCaps/>
              <w:color w:val="auto"/>
              <w:kern w:val="2"/>
              <w:sz w:val="21"/>
              <w:szCs w:val="24"/>
              <w:lang w:val="zh-CN"/>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pStyle w:val="34"/>
            <w:tabs>
              <w:tab w:val="right" w:leader="dot" w:pos="9628"/>
            </w:tabs>
            <w:rPr>
              <w:rFonts w:ascii="仿宋_GB2312" w:eastAsia="仿宋_GB2312"/>
              <w:sz w:val="24"/>
            </w:rPr>
          </w:pPr>
        </w:p>
        <w:p>
          <w:pPr>
            <w:pStyle w:val="34"/>
            <w:tabs>
              <w:tab w:val="right" w:leader="dot" w:pos="9628"/>
            </w:tabs>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"_Toc135293159"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_Toc135293159 \h </w:instrText>
          </w:r>
          <w:r>
            <w:rPr>
              <w:rFonts w:hint="eastAsia" w:ascii="仿宋_GB2312" w:eastAsia="仿宋_GB2312"/>
              <w:sz w:val="24"/>
            </w:rPr>
            <w:fldChar w:fldCharType="separate"/>
          </w:r>
          <w:r>
            <w:rPr>
              <w:rFonts w:hint="eastAsia" w:ascii="仿宋_GB2312" w:eastAsia="仿宋_GB2312"/>
              <w:sz w:val="24"/>
            </w:rPr>
            <w:t>6</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"_Toc135293160"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_Toc135293160 \h </w:instrText>
          </w:r>
          <w:r>
            <w:rPr>
              <w:rFonts w:hint="eastAsia" w:ascii="仿宋_GB2312" w:eastAsia="仿宋_GB2312"/>
              <w:sz w:val="24"/>
            </w:rPr>
            <w:fldChar w:fldCharType="separate"/>
          </w:r>
          <w:r>
            <w:rPr>
              <w:rFonts w:hint="eastAsia" w:ascii="仿宋_GB2312" w:eastAsia="仿宋_GB2312"/>
              <w:sz w:val="24"/>
            </w:rPr>
            <w:t>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"_Toc135293161"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_Toc135293161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"_Toc135293162"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_Toc135293162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"_Toc135293163"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_Toc135293163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"_Toc135293164"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_Toc135293164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"_Toc135293165"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_Toc135293165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"_Toc135293166"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_Toc135293166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rPr>
              <w:rFonts w:ascii="仿宋_GB2312" w:eastAsia="仿宋_GB2312" w:hAnsiTheme="minorHAnsi" w:cstheme="minorBidi"/>
              <w:iCs w:val="0"/>
              <w:sz w:val="24"/>
            </w:rPr>
          </w:pPr>
          <w:r>
            <w:fldChar w:fldCharType="begin"/>
          </w:r>
          <w:r>
            <w:instrText xml:space="preserve"> HYPERLINK \l "_Toc135293167"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"_Toc135293168"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"_Toc135293169"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_Toc135293169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"_Toc135293170"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_Toc135293170 \h </w:instrText>
          </w:r>
          <w:r>
            <w:rPr>
              <w:rFonts w:hint="eastAsia" w:ascii="仿宋_GB2312" w:eastAsia="仿宋_GB2312"/>
              <w:sz w:val="24"/>
            </w:rPr>
            <w:fldChar w:fldCharType="separate"/>
          </w:r>
          <w:r>
            <w:rPr>
              <w:rFonts w:hint="eastAsia" w:ascii="仿宋_GB2312" w:eastAsia="仿宋_GB2312"/>
              <w:sz w:val="24"/>
            </w:rPr>
            <w:t>22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"_Toc135293171"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_Toc135293171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"_Toc135293172"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_Toc135293172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"_Toc135293173"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_Toc135293173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"_Toc135293174"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_Toc135293174 \h </w:instrText>
          </w:r>
          <w:r>
            <w:rPr>
              <w:rFonts w:hint="eastAsia" w:ascii="仿宋_GB2312" w:eastAsia="仿宋_GB2312"/>
              <w:sz w:val="24"/>
            </w:rPr>
            <w:fldChar w:fldCharType="separate"/>
          </w:r>
          <w:r>
            <w:rPr>
              <w:rFonts w:hint="eastAsia" w:ascii="仿宋_GB2312" w:eastAsia="仿宋_GB2312"/>
              <w:sz w:val="24"/>
            </w:rPr>
            <w:t>29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"_Toc135293175"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_Toc135293175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"_Toc135293176"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_Toc135293176 \h </w:instrText>
          </w:r>
          <w:r>
            <w:rPr>
              <w:rFonts w:hint="eastAsia" w:ascii="仿宋_GB2312" w:eastAsia="仿宋_GB2312"/>
              <w:sz w:val="24"/>
            </w:rPr>
            <w:fldChar w:fldCharType="separate"/>
          </w:r>
          <w:r>
            <w:rPr>
              <w:rFonts w:hint="eastAsia" w:ascii="仿宋_GB2312" w:eastAsia="仿宋_GB2312"/>
              <w:sz w:val="24"/>
            </w:rPr>
            <w:t>32</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"_Toc135293177"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_Toc135293177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"_Toc135293178"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_Toc135293178 \h </w:instrText>
          </w:r>
          <w:r>
            <w:rPr>
              <w:rFonts w:hint="eastAsia" w:ascii="仿宋_GB2312" w:eastAsia="仿宋_GB2312"/>
              <w:sz w:val="24"/>
            </w:rPr>
            <w:fldChar w:fldCharType="separate"/>
          </w:r>
          <w:r>
            <w:rPr>
              <w:rFonts w:hint="eastAsia" w:ascii="仿宋_GB2312" w:eastAsia="仿宋_GB2312"/>
              <w:sz w:val="24"/>
            </w:rPr>
            <w:t>35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"_Toc135293179"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_Toc135293179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"_Toc135293180"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_Toc135293180 \h </w:instrText>
          </w:r>
          <w:r>
            <w:rPr>
              <w:rFonts w:hint="eastAsia" w:ascii="仿宋_GB2312" w:eastAsia="仿宋_GB2312"/>
              <w:sz w:val="24"/>
            </w:rPr>
            <w:fldChar w:fldCharType="separate"/>
          </w:r>
          <w:r>
            <w:rPr>
              <w:rFonts w:hint="eastAsia" w:ascii="仿宋_GB2312" w:eastAsia="仿宋_GB2312"/>
              <w:sz w:val="24"/>
            </w:rPr>
            <w:t>38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"_Toc135293181"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_Toc135293181 \h </w:instrText>
          </w:r>
          <w:r>
            <w:rPr>
              <w:rFonts w:hint="eastAsia" w:ascii="仿宋_GB2312" w:eastAsia="仿宋_GB2312"/>
              <w:sz w:val="24"/>
            </w:rPr>
            <w:fldChar w:fldCharType="separate"/>
          </w:r>
          <w:r>
            <w:rPr>
              <w:rFonts w:hint="eastAsia" w:ascii="仿宋_GB2312" w:eastAsia="仿宋_GB2312"/>
              <w:sz w:val="24"/>
            </w:rPr>
            <w:t>40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"_Toc135293192"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_Toc135293192 \h </w:instrText>
          </w:r>
          <w:r>
            <w:rPr>
              <w:rFonts w:hint="eastAsia" w:ascii="仿宋_GB2312" w:eastAsia="仿宋_GB2312"/>
              <w:sz w:val="24"/>
            </w:rPr>
            <w:fldChar w:fldCharType="separate"/>
          </w:r>
          <w:r>
            <w:rPr>
              <w:rFonts w:hint="eastAsia" w:ascii="仿宋_GB2312" w:eastAsia="仿宋_GB2312"/>
              <w:sz w:val="24"/>
            </w:rPr>
            <w:t>59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rPr>
              <w:rFonts w:ascii="仿宋_GB2312" w:eastAsia="仿宋_GB2312" w:hAnsiTheme="minorHAnsi" w:cstheme="minorBidi"/>
              <w:b w:val="0"/>
              <w:bCs w:val="0"/>
              <w:caps w:val="0"/>
              <w:sz w:val="24"/>
            </w:rPr>
          </w:pPr>
          <w:r>
            <w:fldChar w:fldCharType="begin"/>
          </w:r>
          <w:r>
            <w:instrText xml:space="preserve"> HYPERLINK \l "_Toc135293193"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_Toc135293193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"_Toc135293194"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_Toc135293194 \h </w:instrText>
          </w:r>
          <w:r>
            <w:rPr>
              <w:rFonts w:hint="eastAsia" w:ascii="仿宋_GB2312" w:eastAsia="仿宋_GB2312"/>
              <w:sz w:val="24"/>
            </w:rPr>
            <w:fldChar w:fldCharType="separate"/>
          </w:r>
          <w:r>
            <w:rPr>
              <w:rFonts w:hint="eastAsia" w:ascii="仿宋_GB2312" w:eastAsia="仿宋_GB2312"/>
              <w:sz w:val="24"/>
            </w:rPr>
            <w:t>62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"_Toc135293195"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_Toc135293195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"_Toc135293196"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_Toc135293196 \h </w:instrText>
          </w:r>
          <w:r>
            <w:rPr>
              <w:rFonts w:hint="eastAsia" w:ascii="仿宋_GB2312" w:eastAsia="仿宋_GB2312"/>
              <w:sz w:val="24"/>
            </w:rPr>
            <w:fldChar w:fldCharType="separate"/>
          </w:r>
          <w:r>
            <w:rPr>
              <w:rFonts w:hint="eastAsia" w:ascii="仿宋_GB2312" w:eastAsia="仿宋_GB2312"/>
              <w:sz w:val="24"/>
            </w:rPr>
            <w:t>69</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"_Toc135293197"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_Toc135293197 \h </w:instrText>
          </w:r>
          <w:r>
            <w:rPr>
              <w:rFonts w:hint="eastAsia" w:ascii="仿宋_GB2312" w:eastAsia="仿宋_GB2312"/>
              <w:sz w:val="24"/>
            </w:rPr>
            <w:fldChar w:fldCharType="separate"/>
          </w:r>
          <w:r>
            <w:rPr>
              <w:rFonts w:hint="eastAsia" w:ascii="仿宋_GB2312" w:eastAsia="仿宋_GB2312"/>
              <w:sz w:val="24"/>
            </w:rPr>
            <w:t>72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rPr>
              <w:rFonts w:ascii="仿宋_GB2312" w:eastAsia="仿宋_GB2312" w:hAnsiTheme="minorHAnsi" w:cstheme="minorBidi"/>
              <w:smallCaps w:val="0"/>
              <w:sz w:val="24"/>
            </w:rPr>
          </w:pPr>
          <w:r>
            <w:fldChar w:fldCharType="begin"/>
          </w:r>
          <w:r>
            <w:instrText xml:space="preserve"> HYPERLINK \l "_Toc135293198" </w:instrText>
          </w:r>
          <w:r>
            <w:fldChar w:fldCharType="separate"/>
          </w:r>
          <w:r>
            <w:rPr>
              <w:rStyle w:val="57"/>
              <w:rFonts w:hint="eastAsia" w:ascii="仿宋_GB2312" w:eastAsia="仿宋_GB2312"/>
              <w:sz w:val="24"/>
            </w:rPr>
            <w:t>五、财政部 司法部关于政府采购支持监狱企业发展有关问题的通知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_Toc135293198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rPr>
              <w:rFonts w:hint="eastAsia" w:ascii="仿宋_GB2312" w:eastAsia="仿宋_GB2312"/>
              <w:sz w:val="24"/>
            </w:rPr>
            <w:fldChar w:fldCharType="end"/>
          </w:r>
        </w:p>
      </w:sdtContent>
    </w:sdt>
    <w:p/>
    <w:p/>
    <w:p/>
    <w:p/>
    <w:p>
      <w:pPr>
        <w:pStyle w:val="2"/>
      </w:pPr>
      <w:bookmarkStart w:id="0" w:name="_Toc135293159"/>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2024深圳市国家基本公共卫生服务项目宣传月活动委托服务</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2024年</w:t>
      </w:r>
      <w:r>
        <w:rPr>
          <w:rFonts w:hint="eastAsia" w:ascii="宋体" w:hAnsi="宋体" w:cs="Arial Unicode MS"/>
          <w:snapToGrid w:val="0"/>
          <w:kern w:val="0"/>
          <w:szCs w:val="21"/>
          <w:u w:val="single"/>
          <w:lang w:val="en-US" w:eastAsia="zh-CN"/>
        </w:rPr>
        <w:t>04</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16</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10</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lang w:eastAsia="zh-CN"/>
        </w:rPr>
        <w:t>SZZZ2024-QC0142</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2024深圳市国家基本公共卫生服务项目宣传月活动委托服务</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cs="仿宋" w:asciiTheme="minorEastAsia" w:hAnsiTheme="minorEastAsia" w:eastAsiaTheme="minorEastAsia"/>
          <w:bCs/>
          <w:sz w:val="21"/>
          <w:szCs w:val="21"/>
          <w:lang w:val="en-US" w:eastAsia="zh-CN"/>
        </w:rPr>
        <w:t>30万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cs="仿宋" w:asciiTheme="minorEastAsia" w:hAnsiTheme="minorEastAsia" w:eastAsiaTheme="minorEastAsia"/>
          <w:bCs/>
          <w:sz w:val="21"/>
          <w:szCs w:val="21"/>
          <w:lang w:val="en-US" w:eastAsia="zh-CN"/>
        </w:rPr>
        <w:t>30万</w:t>
      </w:r>
      <w:r>
        <w:rPr>
          <w:rFonts w:hint="eastAsia" w:ascii="宋体" w:hAnsi="宋体" w:eastAsia="宋体"/>
          <w:snapToGrid w:val="0"/>
          <w:color w:val="auto"/>
          <w:sz w:val="21"/>
          <w:szCs w:val="21"/>
        </w:rPr>
        <w:t>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682" w:type="dxa"/>
            <w:shd w:val="clear" w:color="auto" w:fill="ABCDEF"/>
            <w:vAlign w:val="center"/>
          </w:tcPr>
          <w:p>
            <w:pPr>
              <w:pStyle w:val="45"/>
              <w:keepNext w:val="0"/>
              <w:keepLines w:val="0"/>
              <w:suppressLineNumbers w:val="0"/>
              <w:spacing w:before="0" w:beforeAutospacing="0" w:after="0" w:afterAutospacing="0" w:line="360" w:lineRule="auto"/>
              <w:ind w:left="0" w:right="0"/>
              <w:jc w:val="center"/>
              <w:rPr>
                <w:rFonts w:hint="default"/>
                <w:sz w:val="21"/>
              </w:rPr>
            </w:pPr>
            <w:r>
              <w:rPr>
                <w:rFonts w:hint="eastAsia"/>
                <w:sz w:val="21"/>
              </w:rPr>
              <w:t>序号</w:t>
            </w:r>
          </w:p>
        </w:tc>
        <w:tc>
          <w:tcPr>
            <w:tcW w:w="3287" w:type="dxa"/>
            <w:shd w:val="clear" w:color="auto" w:fill="ABCDEF"/>
            <w:vAlign w:val="center"/>
          </w:tcPr>
          <w:p>
            <w:pPr>
              <w:pStyle w:val="45"/>
              <w:keepNext w:val="0"/>
              <w:keepLines w:val="0"/>
              <w:suppressLineNumbers w:val="0"/>
              <w:spacing w:line="360" w:lineRule="auto"/>
              <w:ind w:left="0" w:right="0"/>
              <w:jc w:val="center"/>
              <w:rPr>
                <w:rFonts w:hint="default"/>
                <w:sz w:val="21"/>
              </w:rPr>
            </w:pPr>
            <w:r>
              <w:rPr>
                <w:rFonts w:hint="default"/>
                <w:sz w:val="21"/>
              </w:rPr>
              <w:t>标的名称</w:t>
            </w:r>
          </w:p>
        </w:tc>
        <w:tc>
          <w:tcPr>
            <w:tcW w:w="921" w:type="dxa"/>
            <w:shd w:val="clear" w:color="auto" w:fill="ABCDEF"/>
            <w:vAlign w:val="center"/>
          </w:tcPr>
          <w:p>
            <w:pPr>
              <w:pStyle w:val="45"/>
              <w:keepNext w:val="0"/>
              <w:keepLines w:val="0"/>
              <w:suppressLineNumbers w:val="0"/>
              <w:spacing w:before="0" w:beforeAutospacing="0" w:after="0" w:afterAutospacing="0" w:line="360" w:lineRule="auto"/>
              <w:ind w:left="0" w:right="0"/>
              <w:jc w:val="center"/>
              <w:rPr>
                <w:rFonts w:hint="default"/>
                <w:sz w:val="21"/>
              </w:rPr>
            </w:pPr>
            <w:r>
              <w:rPr>
                <w:rFonts w:hint="default"/>
                <w:sz w:val="21"/>
              </w:rPr>
              <w:t>数量</w:t>
            </w:r>
          </w:p>
        </w:tc>
        <w:tc>
          <w:tcPr>
            <w:tcW w:w="922" w:type="dxa"/>
            <w:shd w:val="clear" w:color="auto" w:fill="ABCDEF"/>
            <w:vAlign w:val="center"/>
          </w:tcPr>
          <w:p>
            <w:pPr>
              <w:pStyle w:val="45"/>
              <w:keepNext w:val="0"/>
              <w:keepLines w:val="0"/>
              <w:suppressLineNumbers w:val="0"/>
              <w:spacing w:before="0" w:beforeAutospacing="0" w:after="0" w:afterAutospacing="0" w:line="360" w:lineRule="auto"/>
              <w:ind w:left="0" w:right="0"/>
              <w:jc w:val="center"/>
              <w:rPr>
                <w:rFonts w:hint="default"/>
                <w:sz w:val="21"/>
              </w:rPr>
            </w:pPr>
            <w:r>
              <w:rPr>
                <w:rFonts w:hint="default"/>
                <w:sz w:val="21"/>
              </w:rPr>
              <w:t>单位</w:t>
            </w:r>
          </w:p>
        </w:tc>
        <w:tc>
          <w:tcPr>
            <w:tcW w:w="2693" w:type="dxa"/>
            <w:shd w:val="clear" w:color="auto" w:fill="ABCDEF"/>
            <w:vAlign w:val="center"/>
          </w:tcPr>
          <w:p>
            <w:pPr>
              <w:pStyle w:val="45"/>
              <w:keepNext w:val="0"/>
              <w:keepLines w:val="0"/>
              <w:suppressLineNumbers w:val="0"/>
              <w:spacing w:before="0" w:beforeAutospacing="0" w:after="0" w:afterAutospacing="0" w:line="360" w:lineRule="auto"/>
              <w:ind w:left="0" w:right="0"/>
              <w:jc w:val="center"/>
              <w:rPr>
                <w:rFonts w:hint="default"/>
                <w:sz w:val="21"/>
              </w:rPr>
            </w:pPr>
            <w:r>
              <w:rPr>
                <w:rFonts w:hint="eastAsia"/>
                <w:sz w:val="21"/>
              </w:rPr>
              <w:t>简要技术需求或服务要求</w:t>
            </w:r>
          </w:p>
        </w:tc>
        <w:tc>
          <w:tcPr>
            <w:tcW w:w="1276" w:type="dxa"/>
            <w:shd w:val="clear" w:color="auto" w:fill="ABCDEF"/>
            <w:vAlign w:val="center"/>
          </w:tcPr>
          <w:p>
            <w:pPr>
              <w:pStyle w:val="45"/>
              <w:keepNext w:val="0"/>
              <w:keepLines w:val="0"/>
              <w:suppressLineNumbers w:val="0"/>
              <w:spacing w:before="0" w:beforeAutospacing="0" w:after="0" w:afterAutospacing="0" w:line="360" w:lineRule="auto"/>
              <w:ind w:left="0" w:right="0"/>
              <w:jc w:val="center"/>
              <w:rPr>
                <w:rFonts w:hint="default"/>
                <w:sz w:val="21"/>
              </w:rPr>
            </w:pPr>
            <w:r>
              <w:rPr>
                <w:rFonts w:hint="default"/>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keepNext w:val="0"/>
              <w:keepLines w:val="0"/>
              <w:suppressLineNumbers w:val="0"/>
              <w:spacing w:line="360" w:lineRule="auto"/>
              <w:ind w:left="0" w:right="0"/>
              <w:jc w:val="center"/>
              <w:rPr>
                <w:rFonts w:hint="eastAsia" w:asciiTheme="minorEastAsia" w:hAnsiTheme="minorEastAsia" w:eastAsiaTheme="minorEastAsia"/>
                <w:sz w:val="21"/>
                <w:lang w:eastAsia="zh-CN"/>
              </w:rPr>
            </w:pPr>
            <w:r>
              <w:rPr>
                <w:rFonts w:hint="eastAsia" w:ascii="宋体" w:hAnsi="宋体" w:eastAsiaTheme="minorEastAsia"/>
                <w:snapToGrid w:val="0"/>
                <w:sz w:val="21"/>
                <w:szCs w:val="21"/>
                <w:lang w:eastAsia="zh-CN"/>
              </w:rPr>
              <w:t>2024深圳市国家基本公共卫生服务项目宣传月活动委托服务</w:t>
            </w:r>
          </w:p>
        </w:tc>
        <w:tc>
          <w:tcPr>
            <w:tcW w:w="921" w:type="dxa"/>
            <w:shd w:val="clear" w:color="auto" w:fill="auto"/>
            <w:vAlign w:val="center"/>
          </w:tcPr>
          <w:p>
            <w:pPr>
              <w:pStyle w:val="45"/>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keepNext w:val="0"/>
              <w:keepLines w:val="0"/>
              <w:widowControl/>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如果是分支机构参与投标，还须同时提供其具有独立法人资格的上级主体出具的</w:t>
      </w:r>
      <w:r>
        <w:rPr>
          <w:rFonts w:hint="eastAsia" w:ascii="宋体" w:hAnsi="宋体" w:eastAsia="宋体"/>
          <w:snapToGrid w:val="0"/>
          <w:color w:val="auto"/>
          <w:sz w:val="21"/>
        </w:rPr>
        <w:t>有效授权书及</w:t>
      </w:r>
      <w:r>
        <w:rPr>
          <w:rFonts w:hint="eastAsia" w:asciiTheme="minorEastAsia" w:hAnsiTheme="minorEastAsia" w:eastAsiaTheme="minorEastAsia"/>
          <w:snapToGrid w:val="0"/>
          <w:color w:val="auto"/>
          <w:sz w:val="21"/>
        </w:rPr>
        <w:t>上级主体的</w:t>
      </w:r>
      <w:r>
        <w:rPr>
          <w:rFonts w:hint="eastAsia" w:ascii="宋体" w:hAnsi="宋体" w:eastAsia="宋体"/>
          <w:snapToGrid w:val="0"/>
          <w:color w:val="auto"/>
          <w:sz w:val="21"/>
        </w:rPr>
        <w:t>营业执照或法人证书等证明材料复印件或扫描件加盖</w:t>
      </w:r>
      <w:r>
        <w:rPr>
          <w:rFonts w:hint="eastAsia" w:asciiTheme="minorEastAsia" w:hAnsiTheme="minorEastAsia" w:eastAsiaTheme="minorEastAsia"/>
          <w:snapToGrid w:val="0"/>
          <w:color w:val="auto"/>
          <w:sz w:val="21"/>
        </w:rPr>
        <w:t>投标人</w:t>
      </w:r>
      <w:r>
        <w:rPr>
          <w:rFonts w:hint="eastAsia" w:ascii="宋体" w:hAnsi="宋体" w:eastAsia="宋体"/>
          <w:snapToGrid w:val="0"/>
          <w:color w:val="auto"/>
          <w:sz w:val="21"/>
        </w:rPr>
        <w:t>公章</w:t>
      </w:r>
      <w:r>
        <w:rPr>
          <w:rFonts w:hint="eastAsia" w:asciiTheme="minorEastAsia" w:hAnsiTheme="minorEastAsia" w:eastAsiaTheme="minorEastAsia"/>
          <w:snapToGrid w:val="0"/>
          <w:color w:val="auto"/>
          <w:sz w:val="21"/>
        </w:rPr>
        <w:t>；</w:t>
      </w:r>
      <w:r>
        <w:rPr>
          <w:rFonts w:hint="eastAsia" w:ascii="宋体" w:hAnsi="宋体" w:eastAsia="宋体"/>
          <w:snapToGrid w:val="0"/>
          <w:color w:val="auto"/>
          <w:sz w:val="21"/>
        </w:rPr>
        <w:t>本项目不接受总公司与分支机构同时参与投标，也不接受同一总公司有两个或以上分支机构参与投标，如出现以上情形，该两家或以上投标人均按无效投标处理。</w:t>
      </w:r>
    </w:p>
    <w:p>
      <w:pPr>
        <w:pStyle w:val="453"/>
        <w:adjustRightInd w:val="0"/>
        <w:snapToGrid w:val="0"/>
        <w:spacing w:before="0" w:beforeAutospacing="0" w:after="0" w:afterAutospacing="0" w:line="360" w:lineRule="auto"/>
        <w:ind w:firstLine="424" w:firstLineChars="202"/>
        <w:rPr>
          <w:rFonts w:hint="eastAsia" w:asciiTheme="minorEastAsia" w:hAnsiTheme="minorEastAsia" w:eastAsiaTheme="minorEastAsia"/>
          <w:snapToGrid w:val="0"/>
          <w:color w:val="auto"/>
          <w:sz w:val="21"/>
          <w:lang w:eastAsia="zh-CN"/>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（1）参与本项目采购活动前三年内，在经营活动中没有重大违法记录（须按本项目投标文件格式要求提供《政府采购投标及履约承诺函》加盖投标人公章）；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（4）参与本项目政府采购活动不存在与其他采购参加人串通投标，隐瞒真实情况，提供虚假资料等违法违规情形（须按本项目投标文件格式要求提供《政府采购投标及履约承诺函》加盖投标人公章）；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单位负责人为同一人或者存在直接控股、管理关系的不同供应商，不得参加同一合同项下的政府采购活动，采购代理机构通过国家企业信用信息公示系统（https://www.gsxt.gov.cn/index.html）或机关赋码和事业单位登记管理网（http://www.gjsy.gov.cn/sydwfrxxcx/）或全国社会组织信用信息公示平台（https://xxgs.chinanpo.mca.gov.cn/gsxt/newList）网站查询投标人信息，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未被列入失信被执行人、重大税收违法案件当事人名单及政府采购严重违法失信行为记录名单（信用中国网“信用服务”栏的“重大税收违法失信主体”、“失信被执行人”，中国政府采购网“政府采购严重违法失信行为记录名单”，深圳信用网以及深圳市政府采购监管网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03</w:t>
      </w:r>
      <w:r>
        <w:rPr>
          <w:rFonts w:hint="eastAsia" w:ascii="宋体" w:hAnsi="宋体" w:eastAsia="宋体"/>
          <w:snapToGrid w:val="0"/>
          <w:color w:val="auto"/>
          <w:sz w:val="21"/>
          <w:szCs w:val="21"/>
          <w:u w:val="single"/>
        </w:rPr>
        <w:t>日至2024年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w:t>
      </w:r>
      <w:r>
        <w:rPr>
          <w:rFonts w:ascii="宋体" w:hAnsi="宋体" w:eastAsia="宋体"/>
          <w:snapToGrid w:val="0"/>
          <w:color w:val="auto"/>
          <w:sz w:val="21"/>
          <w:szCs w:val="21"/>
        </w:rPr>
        <w:t xml:space="preserve"> </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3、方式：现场获取或线上获取</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（1）现场获取：投标人按以上时间和地点现场报名和获取招标文件，逾期不予受理。</w:t>
      </w:r>
    </w:p>
    <w:p>
      <w:pPr>
        <w:widowControl/>
        <w:adjustRightInd w:val="0"/>
        <w:snapToGrid w:val="0"/>
        <w:spacing w:line="360" w:lineRule="auto"/>
        <w:ind w:firstLine="426"/>
        <w:jc w:val="left"/>
        <w:rPr>
          <w:rFonts w:ascii="宋体" w:hAnsi="宋体" w:cs="Arial Unicode MS"/>
          <w:snapToGrid w:val="0"/>
          <w:kern w:val="0"/>
          <w:szCs w:val="21"/>
        </w:rPr>
      </w:pPr>
      <w:r>
        <w:rPr>
          <w:rFonts w:hint="eastAsia" w:ascii="宋体" w:hAnsi="宋体" w:cs="Arial Unicode MS"/>
          <w:snapToGrid w:val="0"/>
          <w:kern w:val="0"/>
          <w:szCs w:val="21"/>
        </w:rPr>
        <w:t xml:space="preserve">（2）线上获取：投标人通过邮件报名及获取招标文件，报名时间以我司邮箱收件时间为准（我司邮箱：qtszzzzb@163.com），逾期不予受理。需提供以下资料: </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1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①</w:t>
      </w:r>
      <w:r>
        <w:rPr>
          <w:rFonts w:ascii="宋体" w:hAnsi="宋体" w:cs="Arial Unicode MS"/>
          <w:snapToGrid w:val="0"/>
          <w:kern w:val="0"/>
          <w:szCs w:val="21"/>
        </w:rPr>
        <w:fldChar w:fldCharType="end"/>
      </w:r>
      <w:r>
        <w:rPr>
          <w:rFonts w:hint="eastAsia" w:ascii="宋体" w:hAnsi="宋体" w:cs="Arial Unicode MS"/>
          <w:snapToGrid w:val="0"/>
          <w:kern w:val="0"/>
          <w:szCs w:val="21"/>
        </w:rPr>
        <w:t>加盖公章的《购买标书登记表》（下载地址：www.szzzt.com 首页“下载中心”）；</w:t>
      </w:r>
      <w:r>
        <w:rPr>
          <w:rFonts w:ascii="宋体" w:hAnsi="宋体" w:cs="Arial Unicode MS"/>
          <w:snapToGrid w:val="0"/>
          <w:kern w:val="0"/>
          <w:szCs w:val="21"/>
        </w:rPr>
        <w:fldChar w:fldCharType="begin"/>
      </w:r>
      <w:r>
        <w:rPr>
          <w:rFonts w:ascii="宋体" w:hAnsi="宋体" w:cs="Arial Unicode MS"/>
          <w:snapToGrid w:val="0"/>
          <w:kern w:val="0"/>
          <w:szCs w:val="21"/>
        </w:rPr>
        <w:instrText xml:space="preserve"> </w:instrText>
      </w:r>
      <w:r>
        <w:rPr>
          <w:rFonts w:hint="eastAsia" w:ascii="宋体" w:hAnsi="宋体" w:cs="Arial Unicode MS"/>
          <w:snapToGrid w:val="0"/>
          <w:kern w:val="0"/>
          <w:szCs w:val="21"/>
        </w:rPr>
        <w:instrText xml:space="preserve">= 2 \* GB3</w:instrText>
      </w:r>
      <w:r>
        <w:rPr>
          <w:rFonts w:ascii="宋体" w:hAnsi="宋体" w:cs="Arial Unicode MS"/>
          <w:snapToGrid w:val="0"/>
          <w:kern w:val="0"/>
          <w:szCs w:val="21"/>
        </w:rPr>
        <w:instrText xml:space="preserve"> </w:instrText>
      </w:r>
      <w:r>
        <w:rPr>
          <w:rFonts w:ascii="宋体" w:hAnsi="宋体" w:cs="Arial Unicode MS"/>
          <w:snapToGrid w:val="0"/>
          <w:kern w:val="0"/>
          <w:szCs w:val="21"/>
        </w:rPr>
        <w:fldChar w:fldCharType="separate"/>
      </w:r>
      <w:r>
        <w:rPr>
          <w:rFonts w:hint="eastAsia" w:ascii="宋体" w:hAnsi="宋体" w:cs="Arial Unicode MS"/>
          <w:snapToGrid w:val="0"/>
          <w:kern w:val="0"/>
          <w:szCs w:val="21"/>
        </w:rPr>
        <w:t>②</w:t>
      </w:r>
      <w:r>
        <w:rPr>
          <w:rFonts w:ascii="宋体" w:hAnsi="宋体" w:cs="Arial Unicode MS"/>
          <w:snapToGrid w:val="0"/>
          <w:kern w:val="0"/>
          <w:szCs w:val="21"/>
        </w:rPr>
        <w:fldChar w:fldCharType="end"/>
      </w:r>
      <w:r>
        <w:rPr>
          <w:rFonts w:hint="eastAsia" w:ascii="宋体" w:hAnsi="宋体" w:cs="Arial Unicode MS"/>
          <w:snapToGrid w:val="0"/>
          <w:kern w:val="0"/>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2024年</w:t>
      </w:r>
      <w:r>
        <w:rPr>
          <w:rFonts w:hint="eastAsia" w:ascii="宋体" w:hAnsi="宋体" w:eastAsia="宋体"/>
          <w:snapToGrid w:val="0"/>
          <w:color w:val="auto"/>
          <w:sz w:val="21"/>
          <w:szCs w:val="21"/>
          <w:u w:val="single"/>
          <w:lang w:val="en-US" w:eastAsia="zh-CN"/>
        </w:rPr>
        <w:t>04</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16</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10</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00</w:t>
      </w:r>
      <w:r>
        <w:rPr>
          <w:rFonts w:hint="eastAsia" w:ascii="宋体" w:hAnsi="宋体" w:eastAsia="宋体"/>
          <w:snapToGrid w:val="0"/>
          <w:color w:val="auto"/>
          <w:sz w:val="21"/>
          <w:szCs w:val="21"/>
          <w:u w:val="single"/>
        </w:rPr>
        <w:t>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3、本项目投标人可以通过快递方式在提交投标文件截止时间前将投标文件邮寄至我司，送达时间以我司工作人员签收时间为准。快递箱封面需用A4纸清晰标注项目名称、项目编号和投标人名称；投标人自行承担因寄错地址、逾期送达、未按照招标文件要求密封或者邮寄过程中出现包装密封破损等可能导致投标无效情形的责任与后果。投标人未参加开标会的，视同认可开标结果。</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名称：深圳市疾病预防控制中心</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地址：深圳市南山区龙苑路8号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联系方式：王</w:t>
      </w:r>
      <w:r>
        <w:rPr>
          <w:rFonts w:hint="eastAsia" w:ascii="宋体" w:hAnsi="宋体" w:eastAsia="宋体"/>
          <w:snapToGrid w:val="0"/>
          <w:color w:val="auto"/>
          <w:sz w:val="21"/>
          <w:szCs w:val="21"/>
          <w:lang w:val="en-US" w:eastAsia="zh-CN"/>
        </w:rPr>
        <w:t>工，</w:t>
      </w:r>
      <w:r>
        <w:rPr>
          <w:rFonts w:hint="eastAsia" w:ascii="宋体" w:hAnsi="宋体" w:eastAsia="宋体"/>
          <w:snapToGrid w:val="0"/>
          <w:color w:val="auto"/>
          <w:sz w:val="21"/>
          <w:szCs w:val="21"/>
        </w:rPr>
        <w:t>0755-86646174</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val="en-US"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2024年</w:t>
      </w:r>
      <w:r>
        <w:rPr>
          <w:rFonts w:hint="eastAsia" w:ascii="宋体" w:hAnsi="宋体"/>
          <w:snapToGrid w:val="0"/>
          <w:kern w:val="0"/>
          <w:sz w:val="24"/>
          <w:lang w:val="en-US" w:eastAsia="zh-CN"/>
        </w:rPr>
        <w:t>04</w:t>
      </w:r>
      <w:r>
        <w:rPr>
          <w:rFonts w:ascii="宋体" w:hAnsi="宋体"/>
          <w:snapToGrid w:val="0"/>
          <w:kern w:val="0"/>
          <w:sz w:val="24"/>
        </w:rPr>
        <w:t>月</w:t>
      </w:r>
      <w:r>
        <w:rPr>
          <w:rFonts w:hint="eastAsia" w:ascii="宋体" w:hAnsi="宋体"/>
          <w:snapToGrid w:val="0"/>
          <w:kern w:val="0"/>
          <w:sz w:val="24"/>
          <w:lang w:val="en-US" w:eastAsia="zh-CN"/>
        </w:rPr>
        <w:t>03</w:t>
      </w:r>
      <w:r>
        <w:rPr>
          <w:rFonts w:hint="eastAsia" w:ascii="宋体" w:hAnsi="宋体"/>
          <w:snapToGrid w:val="0"/>
          <w:kern w:val="0"/>
          <w:sz w:val="24"/>
        </w:rPr>
        <w:t>日</w:t>
      </w:r>
    </w:p>
    <w:p/>
    <w:p/>
    <w:p>
      <w:pPr>
        <w:pStyle w:val="2"/>
      </w:pPr>
      <w:bookmarkStart w:id="1" w:name="_Toc135293160"/>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5、加注★的条款为不可负偏离条款，任一项未响应或不满足要求的，将导致投标无效。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color w:val="FF0000"/>
                <w:szCs w:val="21"/>
              </w:rPr>
            </w:pPr>
            <w:r>
              <w:rPr>
                <w:rFonts w:hint="eastAsia" w:ascii="宋体" w:hAnsi="宋体" w:cs="宋体"/>
                <w:b/>
                <w:color w:val="FF0000"/>
                <w:szCs w:val="21"/>
              </w:rPr>
              <w:t>标的名称</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采购预算金额</w:t>
            </w:r>
          </w:p>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eastAsia" w:ascii="宋体" w:hAnsi="宋体" w:eastAsia="宋体" w:cs="宋体"/>
                <w:szCs w:val="21"/>
                <w:lang w:eastAsia="zh-CN"/>
              </w:rPr>
            </w:pPr>
            <w:r>
              <w:rPr>
                <w:rFonts w:hint="eastAsia" w:ascii="宋体" w:hAnsi="宋体"/>
                <w:snapToGrid w:val="0"/>
                <w:szCs w:val="21"/>
                <w:lang w:eastAsia="zh-CN"/>
              </w:rPr>
              <w:t>2024深圳市国家基本公共卫生服务项目宣传月活动委托服务</w:t>
            </w:r>
          </w:p>
        </w:tc>
        <w:tc>
          <w:tcPr>
            <w:tcW w:w="92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eastAsia="宋体" w:cs="宋体"/>
                <w:szCs w:val="21"/>
                <w:lang w:val="en-US" w:eastAsia="zh-CN"/>
              </w:rPr>
            </w:pPr>
            <w:r>
              <w:rPr>
                <w:rFonts w:hint="eastAsia" w:ascii="宋体" w:hAnsi="宋体" w:cs="宋体"/>
                <w:szCs w:val="21"/>
                <w:lang w:val="en-US" w:eastAsia="zh-CN"/>
              </w:rPr>
              <w:t>300,000.00</w:t>
            </w:r>
          </w:p>
        </w:tc>
        <w:tc>
          <w:tcPr>
            <w:tcW w:w="170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adjustRightInd w:val="0"/>
              <w:snapToGrid w:val="0"/>
              <w:spacing w:before="0" w:beforeAutospacing="0" w:after="0" w:afterAutospacing="0" w:line="360" w:lineRule="auto"/>
              <w:ind w:left="0" w:right="0"/>
              <w:jc w:val="center"/>
              <w:textAlignment w:val="center"/>
              <w:rPr>
                <w:rFonts w:hint="default" w:ascii="宋体" w:hAnsi="宋体" w:cs="宋体"/>
                <w:szCs w:val="21"/>
              </w:rPr>
            </w:pPr>
            <w:r>
              <w:rPr>
                <w:rFonts w:hint="eastAsia" w:ascii="宋体" w:hAnsi="宋体" w:cs="宋体"/>
                <w:szCs w:val="21"/>
              </w:rPr>
              <w:t>无</w:t>
            </w:r>
          </w:p>
        </w:tc>
      </w:tr>
    </w:tbl>
    <w:p>
      <w:pPr>
        <w:pStyle w:val="255"/>
        <w:spacing w:before="156"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（二）项目基本情况</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为落实以基层为重点的新时代党的卫生与健康工作方针若干要求，全力推进基本公共卫生服务项目实施，提高居民健康素养水平，营造居民主动参与自我健康管理的良好社会氛围，深圳市疾病预防控制中心业务管理科（深圳市基本公共卫生服务项目技术指导中心）决定组织开展深圳市国家基本公共卫生服务项目宣传月活动。为更好的开展此项宣传活动，提高宣传效果，需委托第三方公司协助项目宣传活动的策划设计以及相关材料的制作。</w:t>
      </w:r>
    </w:p>
    <w:p>
      <w:pPr>
        <w:pStyle w:val="506"/>
        <w:wordWrap/>
        <w:spacing w:afterLines="0" w:line="360" w:lineRule="auto"/>
        <w:ind w:firstLine="420"/>
        <w:rPr>
          <w:rFonts w:cs="Times New Roman"/>
          <w:snapToGrid/>
          <w:spacing w:val="0"/>
          <w:sz w:val="21"/>
          <w:szCs w:val="21"/>
        </w:rPr>
      </w:pPr>
    </w:p>
    <w:p>
      <w:pPr>
        <w:rPr>
          <w:rFonts w:hint="eastAsia"/>
          <w:b/>
        </w:rPr>
      </w:pPr>
      <w:r>
        <w:rPr>
          <w:rFonts w:hint="eastAsia"/>
          <w:b/>
        </w:rPr>
        <w:br w:type="page"/>
      </w:r>
    </w:p>
    <w:p>
      <w:pPr>
        <w:pStyle w:val="321"/>
        <w:ind w:firstLine="0" w:firstLineChars="0"/>
        <w:rPr>
          <w:b/>
        </w:rPr>
      </w:pPr>
      <w:r>
        <w:rPr>
          <w:rFonts w:hint="eastAsia"/>
          <w:b/>
        </w:rPr>
        <w:t>二、项目服务要求</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rPr>
        <w:t>（一）</w:t>
      </w:r>
      <w:r>
        <w:rPr>
          <w:rFonts w:hint="eastAsia" w:cs="Times New Roman"/>
          <w:snapToGrid/>
          <w:spacing w:val="0"/>
          <w:sz w:val="21"/>
          <w:szCs w:val="21"/>
          <w:lang w:val="en-US" w:eastAsia="zh-CN"/>
        </w:rPr>
        <w:t>活动目的</w:t>
      </w:r>
    </w:p>
    <w:p>
      <w:pPr>
        <w:pStyle w:val="506"/>
        <w:wordWrap/>
        <w:spacing w:afterLines="0" w:line="360" w:lineRule="auto"/>
        <w:ind w:firstLine="420"/>
        <w:rPr>
          <w:rFonts w:cs="Times New Roman"/>
          <w:snapToGrid/>
          <w:spacing w:val="0"/>
          <w:sz w:val="21"/>
          <w:szCs w:val="21"/>
        </w:rPr>
      </w:pPr>
      <w:r>
        <w:rPr>
          <w:rFonts w:hint="eastAsia" w:cs="Times New Roman"/>
          <w:snapToGrid/>
          <w:spacing w:val="0"/>
          <w:sz w:val="21"/>
          <w:szCs w:val="21"/>
        </w:rPr>
        <w:t>本活动重点宣传基本公共卫生服务的免费项目和优惠政策，旨在提高我市居民对基本公共卫生服务项目的知晓率，引导社区居民积极主动参与基本公共卫生服务，树立“每一个人都是自己健康的第一责任人”的健康意识，推进全民养成健康生活方式。</w:t>
      </w:r>
    </w:p>
    <w:p>
      <w:pPr>
        <w:pStyle w:val="506"/>
        <w:wordWrap/>
        <w:spacing w:afterLines="0" w:line="360" w:lineRule="auto"/>
        <w:ind w:firstLine="420"/>
        <w:rPr>
          <w:rFonts w:hint="default" w:eastAsia="宋体" w:cs="Times New Roman"/>
          <w:snapToGrid/>
          <w:spacing w:val="0"/>
          <w:sz w:val="21"/>
          <w:szCs w:val="21"/>
          <w:lang w:val="en-US" w:eastAsia="zh-CN"/>
        </w:rPr>
      </w:pPr>
      <w:r>
        <w:rPr>
          <w:rFonts w:hint="eastAsia" w:cs="Times New Roman"/>
          <w:snapToGrid/>
          <w:spacing w:val="0"/>
          <w:sz w:val="21"/>
          <w:szCs w:val="21"/>
        </w:rPr>
        <w:t>（二）</w:t>
      </w:r>
      <w:r>
        <w:rPr>
          <w:rFonts w:hint="eastAsia" w:cs="Times New Roman"/>
          <w:snapToGrid/>
          <w:spacing w:val="0"/>
          <w:sz w:val="21"/>
          <w:szCs w:val="21"/>
          <w:lang w:val="en-US" w:eastAsia="zh-CN"/>
        </w:rPr>
        <w:t>活动时间</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rPr>
        <w:t>2024年5</w:t>
      </w:r>
      <w:r>
        <w:rPr>
          <w:rFonts w:hint="eastAsia" w:cs="Times New Roman"/>
          <w:snapToGrid/>
          <w:spacing w:val="0"/>
          <w:sz w:val="21"/>
          <w:szCs w:val="21"/>
          <w:lang w:val="en-US" w:eastAsia="zh-CN"/>
        </w:rPr>
        <w:t>月1日</w:t>
      </w:r>
      <w:r>
        <w:rPr>
          <w:rFonts w:hint="eastAsia" w:cs="Times New Roman"/>
          <w:snapToGrid/>
          <w:spacing w:val="0"/>
          <w:sz w:val="21"/>
          <w:szCs w:val="21"/>
        </w:rPr>
        <w:t>-9月</w:t>
      </w:r>
      <w:r>
        <w:rPr>
          <w:rFonts w:hint="eastAsia" w:cs="Times New Roman"/>
          <w:snapToGrid/>
          <w:spacing w:val="0"/>
          <w:sz w:val="21"/>
          <w:szCs w:val="21"/>
          <w:lang w:val="en-US" w:eastAsia="zh-CN"/>
        </w:rPr>
        <w:t>30日</w:t>
      </w:r>
      <w:r>
        <w:rPr>
          <w:rFonts w:hint="eastAsia" w:cs="Times New Roman"/>
          <w:snapToGrid/>
          <w:spacing w:val="0"/>
          <w:sz w:val="21"/>
          <w:szCs w:val="21"/>
          <w:lang w:eastAsia="zh-CN"/>
        </w:rPr>
        <w:t>。</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w:t>
      </w:r>
      <w:r>
        <w:rPr>
          <w:rFonts w:hint="eastAsia" w:cs="Times New Roman"/>
          <w:snapToGrid/>
          <w:spacing w:val="0"/>
          <w:sz w:val="21"/>
          <w:szCs w:val="21"/>
          <w:lang w:val="en-US" w:eastAsia="zh-CN"/>
        </w:rPr>
        <w:t>三</w:t>
      </w:r>
      <w:r>
        <w:rPr>
          <w:rFonts w:hint="eastAsia" w:cs="Times New Roman"/>
          <w:snapToGrid/>
          <w:spacing w:val="0"/>
          <w:sz w:val="21"/>
          <w:szCs w:val="21"/>
          <w:lang w:eastAsia="zh-CN"/>
        </w:rPr>
        <w:t>）委托服务内容与验收标准</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1.线下宣传</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在世界卫生日（4月7日）、全国儿童预防接种日（4月25日）、世界高血压日（5月17日）、世界家庭医生日（5月19日）中选择一个重要节日，在深圳代表性地点发起一场大型线下“国家基本公卫服务健康嘉年华”，以社会大众喜爱度高的市集嘉年华形式，将基本公卫知识互动挑战融入其中，并设置健康知识宣传摊位、体检义诊摊位等，提升居民对社康机构特色服务内容、优势服务项目的知晓率。同时进行活动新闻报道，放大基本公卫服务项目的影响力。</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2.线上宣传</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eastAsia="zh-CN"/>
        </w:rPr>
        <w:t>制作基本公卫实施15周年纪念宣传短片1个，依托公众号、视频号等新媒体广泛宣传。针对线下宣传嘉年华活动，在全国、深圳、广东等新闻媒体、健康信息媒体及全国主流新闻媒体、自媒体号等进行新闻宣传报道。</w:t>
      </w:r>
    </w:p>
    <w:p>
      <w:pPr>
        <w:pStyle w:val="506"/>
        <w:wordWrap/>
        <w:spacing w:afterLines="0" w:line="360" w:lineRule="auto"/>
        <w:ind w:firstLine="420"/>
        <w:rPr>
          <w:rFonts w:hint="eastAsia" w:cs="Times New Roman"/>
          <w:snapToGrid/>
          <w:spacing w:val="0"/>
          <w:sz w:val="21"/>
          <w:szCs w:val="21"/>
          <w:lang w:eastAsia="zh-CN"/>
        </w:rPr>
      </w:pPr>
      <w:r>
        <w:rPr>
          <w:rFonts w:hint="eastAsia" w:cs="Times New Roman"/>
          <w:snapToGrid/>
          <w:spacing w:val="0"/>
          <w:sz w:val="21"/>
          <w:szCs w:val="21"/>
          <w:lang w:val="en-US" w:eastAsia="zh-CN"/>
        </w:rPr>
        <w:t>3.</w:t>
      </w:r>
      <w:r>
        <w:rPr>
          <w:rFonts w:hint="eastAsia" w:cs="Times New Roman"/>
          <w:snapToGrid/>
          <w:spacing w:val="0"/>
          <w:sz w:val="21"/>
          <w:szCs w:val="21"/>
          <w:lang w:eastAsia="zh-CN"/>
        </w:rPr>
        <w:t>具体委托服务内容与验收标准如表1所示。服务成果按验收标准，采用电子结案报告方式验收，由投标人提供结案报告，采购人验收审核。</w:t>
      </w:r>
    </w:p>
    <w:p>
      <w:pPr>
        <w:pStyle w:val="506"/>
        <w:wordWrap/>
        <w:spacing w:afterLines="0" w:line="360" w:lineRule="auto"/>
        <w:ind w:firstLine="420"/>
        <w:jc w:val="center"/>
        <w:rPr>
          <w:rFonts w:hint="eastAsia" w:cs="Times New Roman"/>
          <w:snapToGrid/>
          <w:spacing w:val="0"/>
          <w:sz w:val="21"/>
          <w:szCs w:val="21"/>
          <w:lang w:eastAsia="zh-CN"/>
        </w:rPr>
      </w:pPr>
      <w:r>
        <w:rPr>
          <w:rFonts w:hint="eastAsia" w:cs="Times New Roman"/>
          <w:snapToGrid/>
          <w:spacing w:val="0"/>
          <w:sz w:val="21"/>
          <w:szCs w:val="21"/>
          <w:lang w:eastAsia="zh-CN"/>
        </w:rPr>
        <w:t>表1 委托服务内容与验收标准</w:t>
      </w:r>
    </w:p>
    <w:tbl>
      <w:tblPr>
        <w:tblStyle w:val="50"/>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2"/>
        <w:gridCol w:w="4160"/>
        <w:gridCol w:w="974"/>
        <w:gridCol w:w="3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62" w:type="dxa"/>
            <w:shd w:val="clear" w:color="auto" w:fill="D7D7D7"/>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序号</w:t>
            </w:r>
          </w:p>
        </w:tc>
        <w:tc>
          <w:tcPr>
            <w:tcW w:w="4160" w:type="dxa"/>
            <w:shd w:val="clear" w:color="auto" w:fill="D7D7D7"/>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事项</w:t>
            </w:r>
          </w:p>
        </w:tc>
        <w:tc>
          <w:tcPr>
            <w:tcW w:w="974" w:type="dxa"/>
            <w:shd w:val="clear" w:color="auto" w:fill="D7D7D7"/>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数量</w:t>
            </w:r>
          </w:p>
        </w:tc>
        <w:tc>
          <w:tcPr>
            <w:tcW w:w="3455" w:type="dxa"/>
            <w:shd w:val="clear" w:color="auto" w:fill="D7D7D7"/>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验收标准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1</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基本公卫健康市集嘉年华执行</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lang w:val="en-US" w:eastAsia="zh-CN"/>
              </w:rPr>
              <w:t>项</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根据活动方案，各个活动环节顺利实施为验收通过。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2</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活动奖品：健康文创产品设计</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5个</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设计方案通过</w:t>
            </w:r>
            <w:r>
              <w:rPr>
                <w:rFonts w:hint="eastAsia" w:ascii="宋体" w:hAnsi="宋体" w:cs="宋体"/>
                <w:sz w:val="21"/>
                <w:szCs w:val="21"/>
                <w:lang w:val="en-US" w:eastAsia="zh-CN"/>
              </w:rPr>
              <w:t>采购人</w:t>
            </w:r>
            <w:r>
              <w:rPr>
                <w:rFonts w:hint="eastAsia" w:ascii="宋体" w:hAnsi="宋体" w:eastAsia="宋体" w:cs="宋体"/>
                <w:sz w:val="21"/>
                <w:szCs w:val="21"/>
              </w:rPr>
              <w:t>审核、数量达标为验收通过。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3</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活动奖品：健康文创产品定制</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500个</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4</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基本公卫15周年宣传片</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lang w:val="en-US" w:eastAsia="zh-CN"/>
              </w:rPr>
              <w:t>个</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设计方案通过</w:t>
            </w:r>
            <w:r>
              <w:rPr>
                <w:rFonts w:hint="eastAsia" w:ascii="宋体" w:hAnsi="宋体" w:cs="宋体"/>
                <w:sz w:val="21"/>
                <w:szCs w:val="21"/>
                <w:lang w:val="en-US" w:eastAsia="zh-CN"/>
              </w:rPr>
              <w:t>采购人</w:t>
            </w:r>
            <w:r>
              <w:rPr>
                <w:rFonts w:hint="eastAsia" w:ascii="宋体" w:hAnsi="宋体" w:eastAsia="宋体" w:cs="宋体"/>
                <w:sz w:val="21"/>
                <w:szCs w:val="21"/>
              </w:rPr>
              <w:t>审核、数量达标为验收通过。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5</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基本公卫手绘宣传册内容策划及设计</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lang w:val="en-US" w:eastAsia="zh-CN"/>
              </w:rPr>
              <w:t>个</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设计方案通过</w:t>
            </w:r>
            <w:r>
              <w:rPr>
                <w:rFonts w:hint="eastAsia" w:ascii="宋体" w:hAnsi="宋体" w:cs="宋体"/>
                <w:sz w:val="21"/>
                <w:szCs w:val="21"/>
                <w:lang w:val="en-US" w:eastAsia="zh-CN"/>
              </w:rPr>
              <w:t>采购人</w:t>
            </w:r>
            <w:r>
              <w:rPr>
                <w:rFonts w:hint="eastAsia" w:ascii="宋体" w:hAnsi="宋体" w:eastAsia="宋体" w:cs="宋体"/>
                <w:sz w:val="21"/>
                <w:szCs w:val="21"/>
              </w:rPr>
              <w:t>审核、数量达标为验收通过。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6</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基本公卫手绘宣传册印制</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2000</w:t>
            </w:r>
            <w:r>
              <w:rPr>
                <w:rFonts w:hint="eastAsia"/>
                <w:lang w:val="en-US" w:eastAsia="zh-CN"/>
              </w:rPr>
              <w:t>本</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7</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活动新闻稿件撰写</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lang w:val="en-US" w:eastAsia="zh-CN"/>
              </w:rPr>
              <w:t>篇</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文字稿件通过</w:t>
            </w:r>
            <w:r>
              <w:rPr>
                <w:rFonts w:hint="eastAsia" w:ascii="宋体" w:hAnsi="宋体" w:cs="宋体"/>
                <w:sz w:val="21"/>
                <w:szCs w:val="21"/>
                <w:lang w:val="en-US" w:eastAsia="zh-CN"/>
              </w:rPr>
              <w:t>采购人</w:t>
            </w:r>
            <w:r>
              <w:rPr>
                <w:rFonts w:hint="eastAsia" w:ascii="宋体" w:hAnsi="宋体" w:eastAsia="宋体" w:cs="宋体"/>
                <w:sz w:val="21"/>
                <w:szCs w:val="21"/>
              </w:rPr>
              <w:t>审核为验收通过。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8</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新闻媒体发稿宣传</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rPr>
              <w:t>50</w:t>
            </w:r>
            <w:r>
              <w:rPr>
                <w:rFonts w:hint="eastAsia"/>
                <w:lang w:val="en-US" w:eastAsia="zh-CN"/>
              </w:rPr>
              <w:t>次</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数量达标为验收通过。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762"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9</w:t>
            </w:r>
          </w:p>
        </w:tc>
        <w:tc>
          <w:tcPr>
            <w:tcW w:w="4160"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短视频精准定向深圳地区流量推广</w:t>
            </w:r>
          </w:p>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（配合</w:t>
            </w:r>
            <w:r>
              <w:rPr>
                <w:rFonts w:hint="eastAsia" w:ascii="宋体" w:hAnsi="宋体" w:cs="宋体"/>
                <w:sz w:val="21"/>
                <w:szCs w:val="21"/>
                <w:lang w:val="en-US" w:eastAsia="zh-CN"/>
              </w:rPr>
              <w:t>采购人</w:t>
            </w:r>
            <w:r>
              <w:rPr>
                <w:rFonts w:hint="eastAsia" w:ascii="宋体" w:hAnsi="宋体" w:eastAsia="宋体" w:cs="宋体"/>
                <w:sz w:val="21"/>
                <w:szCs w:val="21"/>
              </w:rPr>
              <w:t>发布媒体而定）</w:t>
            </w:r>
          </w:p>
        </w:tc>
        <w:tc>
          <w:tcPr>
            <w:tcW w:w="974"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lang w:eastAsia="zh-CN"/>
              </w:rPr>
            </w:pPr>
            <w:r>
              <w:rPr>
                <w:rFonts w:hint="eastAsia" w:ascii="宋体" w:hAnsi="宋体" w:eastAsia="宋体" w:cs="宋体"/>
                <w:sz w:val="21"/>
                <w:szCs w:val="21"/>
              </w:rPr>
              <w:t>100</w:t>
            </w:r>
            <w:r>
              <w:rPr>
                <w:rFonts w:hint="eastAsia" w:ascii="宋体" w:hAnsi="宋体" w:cs="宋体"/>
                <w:sz w:val="21"/>
                <w:szCs w:val="21"/>
                <w:lang w:val="en-US" w:eastAsia="zh-CN"/>
              </w:rPr>
              <w:t>万</w:t>
            </w:r>
          </w:p>
        </w:tc>
        <w:tc>
          <w:tcPr>
            <w:tcW w:w="3455" w:type="dxa"/>
            <w:vAlign w:val="center"/>
          </w:tcPr>
          <w:p>
            <w:pPr>
              <w:keepNext w:val="0"/>
              <w:keepLines w:val="0"/>
              <w:suppressLineNumbers w:val="0"/>
              <w:spacing w:before="0" w:beforeAutospacing="0" w:after="0" w:afterAutospacing="0" w:line="240" w:lineRule="auto"/>
              <w:ind w:left="0" w:right="0" w:firstLine="0" w:firstLineChars="0"/>
              <w:jc w:val="center"/>
              <w:rPr>
                <w:rFonts w:hint="eastAsia" w:ascii="宋体" w:hAnsi="宋体" w:eastAsia="宋体" w:cs="宋体"/>
                <w:sz w:val="21"/>
                <w:szCs w:val="21"/>
              </w:rPr>
            </w:pPr>
            <w:r>
              <w:rPr>
                <w:rFonts w:hint="eastAsia" w:ascii="宋体" w:hAnsi="宋体" w:eastAsia="宋体" w:cs="宋体"/>
                <w:sz w:val="21"/>
                <w:szCs w:val="21"/>
              </w:rPr>
              <w:t>达到目标推广量为验收通过。</w:t>
            </w:r>
          </w:p>
        </w:tc>
      </w:tr>
    </w:tbl>
    <w:p>
      <w:pPr>
        <w:pStyle w:val="321"/>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cs="Times New Roman"/>
          <w:snapToGrid/>
          <w:spacing w:val="0"/>
          <w:sz w:val="21"/>
          <w:szCs w:val="21"/>
          <w:lang w:val="en-US" w:eastAsia="zh-CN"/>
        </w:rPr>
      </w:pPr>
      <w:r>
        <w:rPr>
          <w:rFonts w:hint="eastAsia" w:cs="Times New Roman"/>
          <w:snapToGrid/>
          <w:spacing w:val="0"/>
          <w:sz w:val="21"/>
          <w:szCs w:val="21"/>
          <w:lang w:val="en-US" w:eastAsia="zh-CN"/>
        </w:rPr>
        <w:t>4.项目人员要求（岗位要求、数量）：</w:t>
      </w:r>
    </w:p>
    <w:p>
      <w:pPr>
        <w:pStyle w:val="321"/>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eastAsia="宋体" w:cs="Times New Roman"/>
          <w:snapToGrid/>
          <w:spacing w:val="0"/>
          <w:sz w:val="21"/>
          <w:szCs w:val="21"/>
          <w:lang w:val="en-US" w:eastAsia="zh-CN"/>
        </w:rPr>
      </w:pPr>
      <w:r>
        <w:rPr>
          <w:rFonts w:hint="eastAsia" w:cs="Times New Roman"/>
          <w:snapToGrid/>
          <w:spacing w:val="0"/>
          <w:sz w:val="21"/>
          <w:szCs w:val="21"/>
          <w:lang w:val="en-US" w:eastAsia="zh-CN"/>
        </w:rPr>
        <w:t>中标人需安排项目负责人1人，项目团队成员不少于6人且</w:t>
      </w:r>
      <w:r>
        <w:rPr>
          <w:rFonts w:hint="eastAsia" w:cs="宋体"/>
          <w:color w:val="auto"/>
          <w:sz w:val="21"/>
          <w:szCs w:val="21"/>
          <w:highlight w:val="none"/>
          <w:lang w:val="en-US" w:eastAsia="zh-CN"/>
        </w:rPr>
        <w:t>需</w:t>
      </w:r>
      <w:r>
        <w:rPr>
          <w:rFonts w:hint="eastAsia" w:ascii="宋体" w:hAnsi="宋体" w:eastAsia="宋体" w:cs="宋体"/>
          <w:color w:val="auto"/>
          <w:sz w:val="21"/>
          <w:szCs w:val="21"/>
          <w:highlight w:val="none"/>
        </w:rPr>
        <w:t>精通PS、CDR、AI等平面设计软件</w:t>
      </w:r>
      <w:r>
        <w:rPr>
          <w:rFonts w:hint="eastAsia" w:cs="宋体"/>
          <w:color w:val="auto"/>
          <w:sz w:val="21"/>
          <w:szCs w:val="21"/>
          <w:highlight w:val="none"/>
          <w:lang w:eastAsia="zh-CN"/>
        </w:rPr>
        <w:t>的</w:t>
      </w:r>
      <w:r>
        <w:rPr>
          <w:rFonts w:hint="eastAsia" w:cs="宋体"/>
          <w:color w:val="auto"/>
          <w:sz w:val="21"/>
          <w:szCs w:val="21"/>
          <w:highlight w:val="none"/>
          <w:lang w:val="en-US" w:eastAsia="zh-CN"/>
        </w:rPr>
        <w:t>操作。</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asciiTheme="minorEastAsia" w:hAnsiTheme="minorEastAsia" w:eastAsiaTheme="minorEastAsia"/>
          <w:b/>
          <w:highlight w:val="yellow"/>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p>
    <w:p>
      <w:pPr>
        <w:pStyle w:val="255"/>
        <w:spacing w:beforeLines="0" w:line="360" w:lineRule="auto"/>
        <w:ind w:firstLine="424" w:firstLineChars="201"/>
        <w:rPr>
          <w:rFonts w:asciiTheme="minorEastAsia" w:hAnsiTheme="minorEastAsia" w:eastAsiaTheme="minorEastAsia"/>
          <w:b/>
        </w:rPr>
      </w:pPr>
      <w:r>
        <w:rPr>
          <w:rFonts w:hint="eastAsia" w:asciiTheme="minorEastAsia" w:hAnsiTheme="minorEastAsia" w:eastAsiaTheme="minorEastAsia"/>
          <w:b/>
          <w:highlight w:val="yellow"/>
        </w:rPr>
        <w:t>自合同签订之日起一年。</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宋体" w:hAnsi="宋体" w:eastAsia="宋体"/>
          <w:szCs w:val="21"/>
        </w:rPr>
        <w:t>采购人指定地点。</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（三）报价要求：</w:t>
      </w:r>
    </w:p>
    <w:p>
      <w:pPr>
        <w:spacing w:line="360" w:lineRule="auto"/>
        <w:ind w:firstLine="420" w:firstLineChars="200"/>
        <w:jc w:val="left"/>
        <w:rPr>
          <w:rFonts w:hint="eastAsia" w:ascii="宋体" w:hAnsi="宋体" w:eastAsia="宋体" w:cs="宋体"/>
          <w:szCs w:val="21"/>
        </w:rPr>
      </w:pPr>
      <w:r>
        <w:rPr>
          <w:rFonts w:hint="eastAsia" w:ascii="宋体" w:hAnsi="宋体"/>
          <w:szCs w:val="21"/>
        </w:rPr>
        <w:t>投标人报价应按人民币报价，包括但不限于管理费用、人员费用、税费、生产材料费用、设施硬件配置</w:t>
      </w:r>
      <w:r>
        <w:rPr>
          <w:rFonts w:hint="eastAsia" w:ascii="宋体" w:hAnsi="宋体" w:eastAsia="宋体" w:cs="宋体"/>
          <w:szCs w:val="21"/>
        </w:rPr>
        <w:t>费用等与完成本项目服务工作有关的全部费用。</w:t>
      </w:r>
    </w:p>
    <w:p>
      <w:pPr>
        <w:pStyle w:val="255"/>
        <w:spacing w:beforeLines="0" w:line="360" w:lineRule="auto"/>
        <w:ind w:firstLine="0" w:firstLineChars="0"/>
        <w:rPr>
          <w:rFonts w:hint="eastAsia" w:ascii="宋体" w:hAnsi="宋体" w:eastAsia="宋体" w:cs="宋体"/>
          <w:b/>
        </w:rPr>
      </w:pPr>
      <w:r>
        <w:rPr>
          <w:rFonts w:hint="eastAsia" w:ascii="宋体" w:hAnsi="宋体" w:eastAsia="宋体" w:cs="宋体"/>
          <w:b/>
        </w:rPr>
        <w:t>（四）付款方式：</w:t>
      </w:r>
    </w:p>
    <w:p>
      <w:pPr>
        <w:keepNext w:val="0"/>
        <w:keepLines w:val="0"/>
        <w:widowControl w:val="0"/>
        <w:suppressLineNumbers w:val="0"/>
        <w:spacing w:before="0" w:beforeAutospacing="0" w:after="60" w:afterAutospacing="0" w:line="440" w:lineRule="exact"/>
        <w:ind w:left="449" w:leftChars="190" w:right="0" w:hanging="50" w:hangingChars="24"/>
        <w:jc w:val="both"/>
        <w:rPr>
          <w:rFonts w:hint="eastAsia" w:ascii="宋体" w:hAnsi="宋体" w:eastAsia="宋体" w:cs="宋体"/>
          <w:lang w:val="en-US"/>
        </w:rPr>
      </w:pPr>
      <w:r>
        <w:rPr>
          <w:rFonts w:hint="eastAsia" w:ascii="宋体" w:hAnsi="宋体" w:eastAsia="宋体" w:cs="宋体"/>
          <w:lang w:val="en-US"/>
        </w:rPr>
        <w:t>1</w:t>
      </w:r>
      <w:r>
        <w:rPr>
          <w:rFonts w:hint="eastAsia" w:ascii="宋体" w:hAnsi="宋体" w:eastAsia="宋体" w:cs="宋体"/>
          <w:lang w:eastAsia="zh-CN"/>
        </w:rPr>
        <w:t>、签订合同后三十日内，采购人向</w:t>
      </w:r>
      <w:r>
        <w:rPr>
          <w:rFonts w:hint="eastAsia" w:ascii="宋体" w:hAnsi="宋体" w:eastAsia="宋体" w:cs="宋体"/>
          <w:lang w:val="en-US" w:eastAsia="zh-CN"/>
        </w:rPr>
        <w:t>中标</w:t>
      </w:r>
      <w:r>
        <w:rPr>
          <w:rFonts w:hint="eastAsia" w:ascii="宋体" w:hAnsi="宋体" w:eastAsia="宋体" w:cs="宋体"/>
          <w:lang w:eastAsia="zh-CN"/>
        </w:rPr>
        <w:t>人支付合同金额的</w:t>
      </w:r>
      <w:r>
        <w:rPr>
          <w:rFonts w:hint="eastAsia" w:ascii="宋体" w:hAnsi="宋体" w:eastAsia="宋体" w:cs="宋体"/>
          <w:lang w:val="en-US"/>
        </w:rPr>
        <w:t>70%</w:t>
      </w:r>
      <w:r>
        <w:rPr>
          <w:rFonts w:hint="eastAsia" w:ascii="宋体" w:hAnsi="宋体" w:eastAsia="宋体" w:cs="宋体"/>
          <w:lang w:eastAsia="zh-CN"/>
        </w:rPr>
        <w:t>；</w:t>
      </w:r>
    </w:p>
    <w:p>
      <w:pPr>
        <w:keepNext w:val="0"/>
        <w:keepLines w:val="0"/>
        <w:widowControl w:val="0"/>
        <w:suppressLineNumbers w:val="0"/>
        <w:spacing w:before="0" w:beforeAutospacing="0" w:after="60" w:afterAutospacing="0" w:line="440" w:lineRule="exact"/>
        <w:ind w:left="0" w:right="0" w:firstLine="371" w:firstLineChars="177"/>
        <w:jc w:val="both"/>
        <w:rPr>
          <w:rFonts w:hint="eastAsia" w:ascii="宋体" w:hAnsi="宋体" w:eastAsia="宋体" w:cs="宋体"/>
          <w:lang w:val="en-US"/>
        </w:rPr>
      </w:pPr>
      <w:r>
        <w:rPr>
          <w:rFonts w:hint="eastAsia" w:ascii="宋体" w:hAnsi="宋体" w:eastAsia="宋体" w:cs="宋体"/>
          <w:kern w:val="2"/>
          <w:sz w:val="21"/>
          <w:szCs w:val="24"/>
          <w:lang w:val="en-US" w:eastAsia="zh-CN" w:bidi="ar"/>
        </w:rPr>
        <w:t>2、</w:t>
      </w:r>
      <w:r>
        <w:rPr>
          <w:rFonts w:hint="eastAsia" w:ascii="宋体" w:hAnsi="宋体" w:eastAsia="宋体" w:cs="宋体"/>
          <w:lang w:val="en-US" w:eastAsia="zh-CN"/>
        </w:rPr>
        <w:t>中标</w:t>
      </w:r>
      <w:r>
        <w:rPr>
          <w:rFonts w:hint="eastAsia" w:ascii="宋体" w:hAnsi="宋体" w:eastAsia="宋体" w:cs="宋体"/>
          <w:lang w:eastAsia="zh-CN"/>
        </w:rPr>
        <w:t>人</w:t>
      </w:r>
      <w:r>
        <w:rPr>
          <w:rFonts w:hint="eastAsia" w:ascii="宋体" w:hAnsi="宋体" w:eastAsia="宋体" w:cs="宋体"/>
          <w:kern w:val="2"/>
          <w:sz w:val="21"/>
          <w:szCs w:val="24"/>
          <w:lang w:val="en-US" w:eastAsia="zh-CN" w:bidi="ar"/>
        </w:rPr>
        <w:t>按要求开展工作，项目完成经采购人验收合格后三十日内，采购人向</w:t>
      </w:r>
      <w:r>
        <w:rPr>
          <w:rFonts w:hint="eastAsia" w:ascii="宋体" w:hAnsi="宋体" w:eastAsia="宋体" w:cs="宋体"/>
          <w:lang w:val="en-US" w:eastAsia="zh-CN"/>
        </w:rPr>
        <w:t>中标</w:t>
      </w:r>
      <w:r>
        <w:rPr>
          <w:rFonts w:hint="eastAsia" w:ascii="宋体" w:hAnsi="宋体" w:eastAsia="宋体" w:cs="宋体"/>
          <w:lang w:eastAsia="zh-CN"/>
        </w:rPr>
        <w:t>人</w:t>
      </w:r>
      <w:r>
        <w:rPr>
          <w:rFonts w:hint="eastAsia" w:ascii="宋体" w:hAnsi="宋体" w:eastAsia="宋体" w:cs="宋体"/>
          <w:kern w:val="2"/>
          <w:sz w:val="21"/>
          <w:szCs w:val="24"/>
          <w:lang w:val="en-US" w:eastAsia="zh-CN" w:bidi="ar"/>
        </w:rPr>
        <w:t>支付尾款（合同金额的30%）。</w:t>
      </w:r>
    </w:p>
    <w:p>
      <w:pPr>
        <w:spacing w:line="360" w:lineRule="auto"/>
        <w:ind w:firstLine="420" w:firstLineChars="200"/>
        <w:jc w:val="left"/>
        <w:rPr>
          <w:rFonts w:ascii="宋体" w:hAnsi="宋体"/>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pStyle w:val="456"/>
        <w:spacing w:before="0" w:beforeAutospacing="0" w:after="0" w:afterAutospacing="0" w:line="360" w:lineRule="auto"/>
        <w:rPr>
          <w:sz w:val="21"/>
          <w:szCs w:val="21"/>
        </w:rPr>
      </w:pPr>
    </w:p>
    <w:p>
      <w:pPr>
        <w:rPr>
          <w:sz w:val="21"/>
          <w:szCs w:val="21"/>
        </w:rPr>
      </w:pPr>
      <w:r>
        <w:rPr>
          <w:sz w:val="21"/>
          <w:szCs w:val="21"/>
        </w:rPr>
        <w:br w:type="page"/>
      </w:r>
    </w:p>
    <w:p>
      <w:pPr>
        <w:pStyle w:val="456"/>
        <w:spacing w:before="0" w:beforeAutospacing="0" w:after="0" w:afterAutospacing="0" w:line="360" w:lineRule="auto"/>
        <w:rPr>
          <w:sz w:val="21"/>
          <w:szCs w:val="21"/>
        </w:rPr>
      </w:pPr>
    </w:p>
    <w:p>
      <w:pPr>
        <w:pStyle w:val="2"/>
      </w:pPr>
      <w:bookmarkStart w:id="2" w:name="_Toc135293161"/>
      <w:r>
        <w:rPr>
          <w:rFonts w:hint="eastAsia"/>
        </w:rPr>
        <w:t>第三章  投标文件初审</w:t>
      </w:r>
      <w:bookmarkEnd w:id="2"/>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请评委重点审查供应商是否存在《深圳经济特区政府采购条例实施细则》第七十五条规定的串通投标情形：</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（一）投标供应商之间相互约定给予未中标的供应商利益补偿；</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（二）不同投标供应商的法定代表人、主要经营负责人、项目投标授权代表人、项目负责人、主要技术人员为同一人、属同一单位或者在同一单位缴纳社会保险；</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（三）不同投标供应商的投标文件由同一单位或者同一人编制，或者由同一人分阶段参与编制的；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（四）不同投标供应商的投标文件或部分投标文件相互混装；</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（五）不同投标供应商的投标文件内容存在非正常一致；</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（六）由同一单位工作人员为两家以上（含两家）供应商进行同一项投标活动的；</w:t>
      </w:r>
    </w:p>
    <w:p>
      <w:pPr>
        <w:adjustRightInd w:val="0"/>
        <w:spacing w:line="360" w:lineRule="auto"/>
        <w:ind w:firstLine="424" w:firstLineChars="201"/>
        <w:rPr>
          <w:rFonts w:ascii="宋体" w:hAnsi="宋体"/>
          <w:b/>
          <w:snapToGrid w:val="0"/>
          <w:kern w:val="0"/>
        </w:rPr>
      </w:pPr>
      <w:r>
        <w:rPr>
          <w:rFonts w:hint="eastAsia" w:ascii="宋体" w:hAnsi="宋体"/>
          <w:b/>
          <w:snapToGrid w:val="0"/>
          <w:kern w:val="0"/>
        </w:rPr>
        <w:t>（七）主管部门依照法律、法规认定的其他情形。</w:t>
      </w:r>
    </w:p>
    <w:p>
      <w:pPr>
        <w:adjustRightInd w:val="0"/>
        <w:spacing w:line="360" w:lineRule="auto"/>
        <w:rPr>
          <w:snapToGrid w:val="0"/>
          <w:kern w:val="0"/>
        </w:rPr>
      </w:pPr>
    </w:p>
    <w:p>
      <w:pPr>
        <w:adjustRightInd w:val="0"/>
        <w:spacing w:line="360" w:lineRule="auto"/>
        <w:ind w:firstLine="422" w:firstLineChars="201"/>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二、符合性审查</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6、投标报价有严重缺漏项的。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9、将一个项目包拆分投标，同时提供两套或以上的投标方案</w:t>
      </w:r>
      <w:r>
        <w:rPr>
          <w:szCs w:val="21"/>
        </w:rPr>
        <w:t>（招标文件另有规定的除外）</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ind w:firstLine="422" w:firstLineChars="201"/>
        <w:rPr>
          <w:rFonts w:ascii="宋体" w:hAnsi="宋体"/>
          <w:snapToGrid w:val="0"/>
          <w:kern w:val="0"/>
        </w:rPr>
      </w:pPr>
      <w:r>
        <w:rPr>
          <w:rFonts w:hint="eastAsia" w:ascii="宋体" w:hAnsi="宋体"/>
          <w:snapToGrid w:val="0"/>
          <w:kern w:val="0"/>
        </w:rPr>
        <w:t>13、法律法规规定的其它情形。</w:t>
      </w:r>
    </w:p>
    <w:p/>
    <w:p/>
    <w:p/>
    <w:p/>
    <w:p/>
    <w:p/>
    <w:p/>
    <w:p/>
    <w:p/>
    <w:p/>
    <w:p/>
    <w:p/>
    <w:p/>
    <w:p/>
    <w:p/>
    <w:p/>
    <w:p/>
    <w:p/>
    <w:p/>
    <w:p/>
    <w:p/>
    <w:p/>
    <w:p/>
    <w:p/>
    <w:p/>
    <w:p/>
    <w:p/>
    <w:p/>
    <w:p/>
    <w:p/>
    <w:p/>
    <w:p/>
    <w:p/>
    <w:p/>
    <w:p/>
    <w:p/>
    <w:p/>
    <w:p/>
    <w:p/>
    <w:p/>
    <w:p/>
    <w:p>
      <w:pPr>
        <w:pStyle w:val="2"/>
        <w:spacing w:after="0"/>
      </w:pPr>
      <w:bookmarkStart w:id="3" w:name="_Toc135293162"/>
      <w:r>
        <w:rPr>
          <w:rFonts w:hint="eastAsia"/>
        </w:rPr>
        <w:t>第四章  评标方法和标准</w:t>
      </w:r>
      <w:bookmarkEnd w:id="3"/>
    </w:p>
    <w:p/>
    <w:p>
      <w:pPr>
        <w:pStyle w:val="4"/>
        <w:spacing w:before="0" w:after="0"/>
      </w:pPr>
      <w:bookmarkStart w:id="4" w:name="_Toc44691393"/>
      <w:bookmarkStart w:id="5" w:name="_Toc44690429"/>
      <w:bookmarkStart w:id="6" w:name="_Toc44691161"/>
      <w:bookmarkStart w:id="7" w:name="_Toc44690702"/>
      <w:bookmarkStart w:id="8" w:name="_Toc135293163"/>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综合评分法，是指在最大限度地满足招标文件实质性要求的前提下，按照招标文件中规定的各项因素进行综合评审，评标总得分排名前列的投标人，作为推荐的候选中标供应商。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3、中标供应商及候选中标供应商数量：</w:t>
      </w:r>
      <w:r>
        <w:rPr>
          <w:rFonts w:hint="eastAsia" w:cs="仿宋" w:asciiTheme="minorEastAsia" w:hAnsiTheme="minorEastAsia" w:eastAsiaTheme="minorEastAsia"/>
          <w:kern w:val="2"/>
          <w:sz w:val="21"/>
          <w:szCs w:val="21"/>
        </w:rPr>
        <w:t>中标供应商数量：1名，候选中标供应商数量：1名。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5、推荐候选中标供应商：</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作为候选中标供应商。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6、确定中标供应商：</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非评定分离项目：采购人在评标报告确定的候选中标供应商名单中按顺序确定1名中标供应商。</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35293164"/>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评标委员会按照以下量化的评审因素，对各投标文件进行综合评审：</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评分项及评分规则</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lang w:val="zh-CN"/>
              </w:rPr>
            </w:pPr>
            <w:r>
              <w:rPr>
                <w:rFonts w:hint="eastAsia" w:ascii="宋体" w:hAnsi="宋体" w:eastAsia="宋体" w:cs="宋体"/>
                <w:b/>
                <w:color w:val="auto"/>
                <w:sz w:val="21"/>
                <w:szCs w:val="21"/>
                <w:highlight w:val="none"/>
                <w:lang w:val="zh-CN"/>
              </w:rPr>
              <w:t>一、价格部分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价格分采用低价优先法计算，即满足招标文件要求且投标价格最低的投标报价为评标基准价，其价格分为满分。其他投标人的价格分统一按照下列公式计算：</w:t>
            </w:r>
          </w:p>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投标报价得分=(评标基准价／投标报价)×权重</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备注：</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Cs/>
                <w:snapToGrid w:val="0"/>
                <w:color w:val="auto"/>
                <w:kern w:val="0"/>
                <w:sz w:val="21"/>
                <w:szCs w:val="21"/>
                <w:highlight w:val="none"/>
              </w:rPr>
            </w:pPr>
            <w:r>
              <w:rPr>
                <w:rFonts w:hint="eastAsia" w:ascii="宋体" w:hAnsi="宋体" w:eastAsia="宋体" w:cs="宋体"/>
                <w:snapToGrid w:val="0"/>
                <w:color w:val="auto"/>
                <w:kern w:val="0"/>
                <w:sz w:val="21"/>
                <w:szCs w:val="21"/>
                <w:highlight w:val="none"/>
              </w:rPr>
              <w:t>1、因落实政府采购政策进行价格调整的，以调整后的价格计算评标基准价和投标报价</w:t>
            </w:r>
            <w:r>
              <w:rPr>
                <w:rFonts w:hint="eastAsia" w:ascii="宋体" w:hAnsi="宋体" w:eastAsia="宋体" w:cs="宋体"/>
                <w:bCs/>
                <w:snapToGrid w:val="0"/>
                <w:color w:val="auto"/>
                <w:kern w:val="0"/>
                <w:sz w:val="21"/>
                <w:szCs w:val="21"/>
                <w:highlight w:val="none"/>
              </w:rPr>
              <w:t>；</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sz w:val="21"/>
                <w:szCs w:val="21"/>
                <w:highlight w:val="none"/>
              </w:rPr>
            </w:pPr>
            <w:r>
              <w:rPr>
                <w:rFonts w:hint="eastAsia" w:ascii="宋体" w:hAnsi="宋体" w:eastAsia="宋体" w:cs="宋体"/>
                <w:snapToGrid w:val="0"/>
                <w:color w:val="auto"/>
                <w:kern w:val="0"/>
                <w:sz w:val="21"/>
                <w:szCs w:val="21"/>
                <w:highlight w:val="none"/>
              </w:rPr>
              <w:t>2、投标报价得分四舍五入后，小数点后保留两位有效数</w:t>
            </w:r>
            <w:r>
              <w:rPr>
                <w:rFonts w:hint="eastAsia" w:ascii="宋体" w:hAnsi="宋体" w:eastAsia="宋体" w:cs="宋体"/>
                <w:color w:val="auto"/>
                <w:sz w:val="21"/>
                <w:szCs w:val="21"/>
                <w:highlight w:val="none"/>
              </w:rPr>
              <w:t>。</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二、技术部分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60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143"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内容</w:t>
            </w:r>
          </w:p>
        </w:tc>
        <w:tc>
          <w:tcPr>
            <w:tcW w:w="709"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权重</w:t>
            </w:r>
          </w:p>
        </w:tc>
        <w:tc>
          <w:tcPr>
            <w:tcW w:w="5953"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评分规则</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47"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服务方案</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15</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考察投标人提供的项目服务方案，包含以下内容：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1、对</w:t>
            </w:r>
            <w:r>
              <w:rPr>
                <w:rFonts w:hint="eastAsia" w:ascii="宋体" w:hAnsi="宋体" w:eastAsia="宋体" w:cs="宋体"/>
                <w:color w:val="auto"/>
                <w:sz w:val="21"/>
                <w:szCs w:val="21"/>
                <w:highlight w:val="none"/>
              </w:rPr>
              <w:t>项目服务需求的理解</w:t>
            </w:r>
            <w:r>
              <w:rPr>
                <w:rFonts w:hint="eastAsia" w:ascii="宋体" w:hAnsi="宋体" w:eastAsia="宋体" w:cs="宋体"/>
                <w:color w:val="auto"/>
                <w:kern w:val="0"/>
                <w:sz w:val="21"/>
                <w:szCs w:val="21"/>
                <w:highlight w:val="none"/>
              </w:rPr>
              <w:t>；</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2、项目实施计划；</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w:t>
            </w:r>
            <w:r>
              <w:rPr>
                <w:rFonts w:hint="eastAsia" w:ascii="宋体" w:hAnsi="宋体" w:eastAsia="宋体" w:cs="宋体"/>
                <w:color w:val="auto"/>
                <w:sz w:val="21"/>
                <w:szCs w:val="21"/>
                <w:highlight w:val="none"/>
              </w:rPr>
              <w:t>项目管理服务承诺</w:t>
            </w:r>
            <w:r>
              <w:rPr>
                <w:rFonts w:hint="eastAsia" w:ascii="宋体" w:hAnsi="宋体" w:eastAsia="宋体" w:cs="宋体"/>
                <w:color w:val="auto"/>
                <w:kern w:val="0"/>
                <w:sz w:val="21"/>
                <w:szCs w:val="21"/>
                <w:highlight w:val="none"/>
              </w:rPr>
              <w:t>。</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（二）评分标准：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方案包含以上三项内容得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分；包含以上二项内容得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分；包含以上一项内容得1分；其他情况不得分。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在此基础上，根据方案响应情况进一步评审：</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1.方案内容全面、具体，可行性高，加</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2.方案内容较全面，可行性较高，加</w:t>
            </w:r>
            <w:r>
              <w:rPr>
                <w:rFonts w:hint="eastAsia" w:ascii="宋体" w:hAnsi="宋体" w:eastAsia="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3.方案全面性、可行性一般，加</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4.方案不全，可行性低，不加分。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2</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项目重点难点分析、应对措施及相关的合理化建议</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10</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考察投标人提供的</w:t>
            </w:r>
            <w:r>
              <w:rPr>
                <w:rFonts w:hint="eastAsia" w:ascii="宋体" w:hAnsi="宋体" w:eastAsia="宋体" w:cs="宋体"/>
                <w:color w:val="auto"/>
                <w:sz w:val="21"/>
                <w:szCs w:val="21"/>
                <w:highlight w:val="none"/>
              </w:rPr>
              <w:t>项目重点难点分析、应对措施及相关的合理化建议</w:t>
            </w:r>
            <w:r>
              <w:rPr>
                <w:rFonts w:hint="eastAsia" w:ascii="宋体" w:hAnsi="宋体" w:eastAsia="宋体" w:cs="宋体"/>
                <w:color w:val="auto"/>
                <w:kern w:val="0"/>
                <w:sz w:val="21"/>
                <w:szCs w:val="21"/>
                <w:highlight w:val="none"/>
              </w:rPr>
              <w:t>，包含以下内容：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1、项目重点难点分析；</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2、针对项目重点难点逐项提出应对措施；</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3、相关的合理化建议。</w:t>
            </w: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（二）评分标准：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方案包含以上三项内容得3分；包含以上二项内容得2分；包含以上一项内容得1分；其他情况不得分。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在此基础上，根据方案响应情况进一步评审：</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1.方案内容全面、具体，可行性高，加7分；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2.方案内容较全面，可行性较高，加4分；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3.方案全面性、可行性一般，加1分；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4.方案不全，可行性低，不加分。</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质量保障措施及方案</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10</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考察投标人提供的</w:t>
            </w:r>
            <w:r>
              <w:rPr>
                <w:rFonts w:hint="eastAsia" w:ascii="宋体" w:hAnsi="宋体" w:eastAsia="宋体" w:cs="宋体"/>
                <w:color w:val="auto"/>
                <w:sz w:val="21"/>
                <w:szCs w:val="21"/>
                <w:highlight w:val="none"/>
              </w:rPr>
              <w:t>质量保障措施及方案</w:t>
            </w:r>
            <w:r>
              <w:rPr>
                <w:rFonts w:hint="eastAsia" w:ascii="宋体" w:hAnsi="宋体" w:eastAsia="宋体" w:cs="宋体"/>
                <w:color w:val="auto"/>
                <w:kern w:val="0"/>
                <w:sz w:val="21"/>
                <w:szCs w:val="21"/>
                <w:highlight w:val="none"/>
              </w:rPr>
              <w:t>，包含以下内容：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1、项目质量管理制度；</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2、服务质量检查、整改方案；</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3、项目成果安全性保障措施。</w:t>
            </w: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（二）评分标准：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方案包含以上三项内容得3分；包含以上二项内容得2分；包含以上一项内容得1分；其他情况不得分。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在此基础上，根据方案响应情况进一步评审：</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1.方案内容全面、具体，可行性高，加7分；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2.方案内容较全面，可行性较高，加4分；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3.方案全面性、可行性一般，加1分；</w:t>
            </w:r>
          </w:p>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4.方案不全，可行性低，不加分。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385" w:hRule="atLeast"/>
          <w:jc w:val="center"/>
        </w:trPr>
        <w:tc>
          <w:tcPr>
            <w:tcW w:w="754" w:type="dxa"/>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违约承诺</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投标人提供项目违约承诺，满足以下全部要求的得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分，否则不得分。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（1）人员严格按照招标文件及投标承诺配置； </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（2）服务质量达到招标文件要求； </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（3）对未能达到的管理要求承担管理责任。</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（二）评分依据：</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提供《违约承诺函》（格式自定）作为得分依据，未提供承诺或承诺内容不满足要求不得分。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评委打分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5</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rPr>
              <w:t>拟安排的项目负责人(仅限1人）情况</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4</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拟安排的项目负责人</w:t>
            </w:r>
            <w:r>
              <w:rPr>
                <w:rFonts w:hint="eastAsia" w:ascii="宋体" w:hAnsi="宋体" w:eastAsia="宋体" w:cs="宋体"/>
                <w:color w:val="auto"/>
                <w:kern w:val="0"/>
                <w:sz w:val="21"/>
                <w:szCs w:val="21"/>
                <w:highlight w:val="none"/>
              </w:rPr>
              <w:t>(仅限1人）</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为投标人自有员工，否则本项不得分。在此基础上，按以下标准评分：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w:t>
            </w:r>
            <w:r>
              <w:rPr>
                <w:rFonts w:hint="eastAsia" w:ascii="宋体" w:hAnsi="宋体" w:eastAsia="宋体" w:cs="宋体"/>
                <w:color w:val="auto"/>
                <w:sz w:val="21"/>
                <w:szCs w:val="21"/>
                <w:highlight w:val="none"/>
                <w:lang w:val="en-US" w:eastAsia="zh-CN"/>
              </w:rPr>
              <w:t>本科</w:t>
            </w:r>
            <w:r>
              <w:rPr>
                <w:rFonts w:hint="eastAsia" w:ascii="宋体" w:hAnsi="宋体" w:eastAsia="宋体" w:cs="宋体"/>
                <w:color w:val="auto"/>
                <w:sz w:val="21"/>
                <w:szCs w:val="21"/>
                <w:highlight w:val="none"/>
              </w:rPr>
              <w:t>或以上学历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美术、设计、广告学等</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rPr>
              <w:t>专业</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（2）具有同类卫生健康</w:t>
            </w:r>
            <w:r>
              <w:rPr>
                <w:rFonts w:hint="eastAsia" w:ascii="宋体" w:hAnsi="宋体" w:eastAsia="宋体" w:cs="宋体"/>
                <w:color w:val="auto"/>
                <w:sz w:val="21"/>
                <w:szCs w:val="21"/>
                <w:highlight w:val="none"/>
                <w:lang w:eastAsia="zh-CN"/>
              </w:rPr>
              <w:t>类宣传</w:t>
            </w:r>
            <w:r>
              <w:rPr>
                <w:rFonts w:hint="eastAsia" w:ascii="宋体" w:hAnsi="宋体" w:eastAsia="宋体" w:cs="宋体"/>
                <w:color w:val="auto"/>
                <w:sz w:val="21"/>
                <w:szCs w:val="21"/>
                <w:highlight w:val="none"/>
              </w:rPr>
              <w:t>项目担任项目负责人经验的</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（二）评分依据：</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1.提供项目负责人通过投标单位缴纳的载有社保部门或税务部门公章的近三个月内任意一个月的个人社保证明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如供应商为新成立单位且成立时间不足一个月的，可提供加盖公章的情况说明或者证明材料，无需提供相关人员社保，亦视为符合；如为退休返聘</w:t>
            </w:r>
            <w:r>
              <w:rPr>
                <w:rFonts w:hint="eastAsia" w:ascii="宋体" w:hAnsi="宋体" w:cs="宋体"/>
                <w:color w:val="auto"/>
                <w:sz w:val="21"/>
                <w:szCs w:val="21"/>
                <w:highlight w:val="none"/>
                <w:lang w:val="en-US" w:eastAsia="zh-CN"/>
              </w:rPr>
              <w:t>或聘任</w:t>
            </w:r>
            <w:r>
              <w:rPr>
                <w:rFonts w:hint="eastAsia" w:ascii="宋体" w:hAnsi="宋体" w:eastAsia="宋体" w:cs="宋体"/>
                <w:color w:val="auto"/>
                <w:sz w:val="21"/>
                <w:szCs w:val="21"/>
                <w:highlight w:val="none"/>
              </w:rPr>
              <w:t>人员</w:t>
            </w:r>
            <w:r>
              <w:rPr>
                <w:rFonts w:hint="eastAsia" w:ascii="宋体" w:hAnsi="宋体" w:cs="宋体"/>
                <w:color w:val="auto"/>
                <w:sz w:val="21"/>
                <w:szCs w:val="21"/>
                <w:highlight w:val="none"/>
                <w:lang w:val="en-US" w:eastAsia="zh-CN"/>
              </w:rPr>
              <w:t>则提供</w:t>
            </w:r>
            <w:r>
              <w:rPr>
                <w:rFonts w:hint="eastAsia" w:ascii="宋体" w:hAnsi="宋体" w:eastAsia="宋体" w:cs="宋体"/>
                <w:color w:val="auto"/>
                <w:sz w:val="21"/>
                <w:szCs w:val="21"/>
                <w:highlight w:val="none"/>
              </w:rPr>
              <w:t>返聘协议</w:t>
            </w:r>
            <w:r>
              <w:rPr>
                <w:rFonts w:hint="eastAsia" w:ascii="宋体" w:hAnsi="宋体" w:cs="宋体"/>
                <w:color w:val="auto"/>
                <w:sz w:val="21"/>
                <w:szCs w:val="21"/>
                <w:highlight w:val="none"/>
                <w:lang w:val="en-US" w:eastAsia="zh-CN"/>
              </w:rPr>
              <w:t>或</w:t>
            </w:r>
            <w:r>
              <w:rPr>
                <w:rFonts w:hint="eastAsia"/>
                <w:lang w:val="en-US" w:eastAsia="zh-CN"/>
              </w:rPr>
              <w:t>投标单位颁发的</w:t>
            </w:r>
            <w:r>
              <w:rPr>
                <w:rFonts w:hint="eastAsia" w:ascii="宋体" w:hAnsi="宋体" w:cs="宋体"/>
                <w:color w:val="auto"/>
                <w:sz w:val="21"/>
                <w:szCs w:val="21"/>
                <w:highlight w:val="none"/>
                <w:lang w:val="en-US" w:eastAsia="zh-CN"/>
              </w:rPr>
              <w:t>相关聘书</w:t>
            </w:r>
            <w:r>
              <w:rPr>
                <w:rFonts w:hint="eastAsia" w:ascii="宋体" w:hAnsi="宋体" w:eastAsia="宋体" w:cs="宋体"/>
                <w:color w:val="auto"/>
                <w:sz w:val="21"/>
                <w:szCs w:val="21"/>
                <w:highlight w:val="none"/>
              </w:rPr>
              <w:t>，无需提供相关人员社保，亦视为符合</w:t>
            </w:r>
            <w:r>
              <w:rPr>
                <w:rFonts w:hint="eastAsia" w:ascii="宋体" w:hAnsi="宋体" w:cs="宋体"/>
                <w:color w:val="auto"/>
                <w:sz w:val="21"/>
                <w:szCs w:val="21"/>
                <w:highlight w:val="none"/>
                <w:lang w:eastAsia="zh-CN"/>
              </w:rPr>
              <w:t>）</w:t>
            </w:r>
            <w:r>
              <w:rPr>
                <w:rFonts w:hint="eastAsia"/>
                <w:lang w:val="en-US" w:eastAsia="zh-CN"/>
              </w:rPr>
              <w:t>或与投标单位签订的劳动合同</w:t>
            </w:r>
            <w:r>
              <w:rPr>
                <w:rFonts w:hint="eastAsia" w:ascii="宋体" w:hAnsi="宋体" w:eastAsia="宋体" w:cs="宋体"/>
                <w:color w:val="auto"/>
                <w:sz w:val="21"/>
                <w:szCs w:val="21"/>
                <w:highlight w:val="none"/>
              </w:rPr>
              <w:t>；</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w:t>
            </w:r>
            <w:r>
              <w:rPr>
                <w:rFonts w:hint="eastAsia" w:ascii="宋体" w:hAnsi="宋体" w:eastAsia="宋体" w:cs="宋体"/>
                <w:color w:val="auto"/>
                <w:sz w:val="21"/>
                <w:szCs w:val="21"/>
                <w:highlight w:val="none"/>
                <w:lang w:val="en-US" w:eastAsia="zh-CN"/>
              </w:rPr>
              <w:t>项目负责人</w:t>
            </w:r>
            <w:r>
              <w:rPr>
                <w:rFonts w:hint="eastAsia" w:ascii="宋体" w:hAnsi="宋体" w:eastAsia="宋体" w:cs="宋体"/>
                <w:color w:val="auto"/>
                <w:sz w:val="21"/>
                <w:szCs w:val="21"/>
                <w:highlight w:val="none"/>
              </w:rPr>
              <w:t>上述毕业证书以及学信网查询记录，对于学信网无法查询的，还需提供毕业院校或人社部门或教育部门等颁发机构或监管机构出具的证明，否则无效；</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涉及</w:t>
            </w:r>
            <w:r>
              <w:rPr>
                <w:rFonts w:hint="eastAsia" w:ascii="宋体" w:hAnsi="宋体" w:eastAsia="宋体" w:cs="宋体"/>
                <w:color w:val="auto"/>
                <w:sz w:val="21"/>
                <w:szCs w:val="21"/>
                <w:highlight w:val="none"/>
              </w:rPr>
              <w:t>考察人员工作经验的，要求提供项目合同关键信息作为评分依据，通过合同关键信息无法判断是否得分的，还需同时提供合同甲方出具的证明文件；</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6</w:t>
            </w:r>
          </w:p>
        </w:tc>
        <w:tc>
          <w:tcPr>
            <w:tcW w:w="1143"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拟安排的项目团队成员（项目负责人除外）情况</w:t>
            </w:r>
          </w:p>
        </w:tc>
        <w:tc>
          <w:tcPr>
            <w:tcW w:w="709" w:type="dxa"/>
            <w:vAlign w:val="center"/>
          </w:tcPr>
          <w:p>
            <w:pPr>
              <w:keepNext w:val="0"/>
              <w:keepLines w:val="0"/>
              <w:pageBreakBefore w:val="0"/>
              <w:widowControl/>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16</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拟安排的项目团队成员（不含项目负责人）必须为投标人自有员工，否则本项不得分。在此基础上，按以下标准评分：</w:t>
            </w:r>
          </w:p>
          <w:p>
            <w:pPr>
              <w:keepNext w:val="0"/>
              <w:keepLines w:val="0"/>
              <w:pageBreakBefore w:val="0"/>
              <w:suppressLineNumbers w:val="0"/>
              <w:tabs>
                <w:tab w:val="left" w:pos="426"/>
              </w:tabs>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项目团队成员具有</w:t>
            </w:r>
            <w:r>
              <w:rPr>
                <w:rFonts w:hint="eastAsia" w:ascii="宋体" w:hAnsi="宋体" w:eastAsia="宋体" w:cs="宋体"/>
                <w:color w:val="auto"/>
                <w:sz w:val="21"/>
                <w:szCs w:val="21"/>
                <w:highlight w:val="none"/>
                <w:lang w:val="en-US" w:eastAsia="zh-CN"/>
              </w:rPr>
              <w:t>本科</w:t>
            </w:r>
            <w:r>
              <w:rPr>
                <w:rFonts w:hint="eastAsia" w:ascii="宋体" w:hAnsi="宋体" w:eastAsia="宋体" w:cs="宋体"/>
                <w:color w:val="auto"/>
                <w:sz w:val="21"/>
                <w:szCs w:val="21"/>
                <w:highlight w:val="none"/>
              </w:rPr>
              <w:t>或以上学历</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美术、设计、广告学等</w:t>
            </w:r>
            <w:r>
              <w:rPr>
                <w:rFonts w:hint="eastAsia" w:ascii="宋体" w:hAnsi="宋体" w:cs="宋体"/>
                <w:color w:val="auto"/>
                <w:sz w:val="21"/>
                <w:szCs w:val="21"/>
                <w:highlight w:val="none"/>
                <w:lang w:val="en-US" w:eastAsia="zh-CN"/>
              </w:rPr>
              <w:t>相关</w:t>
            </w:r>
            <w:r>
              <w:rPr>
                <w:rFonts w:hint="eastAsia" w:ascii="宋体" w:hAnsi="宋体" w:eastAsia="宋体" w:cs="宋体"/>
                <w:color w:val="auto"/>
                <w:sz w:val="21"/>
                <w:szCs w:val="21"/>
                <w:highlight w:val="none"/>
              </w:rPr>
              <w:t>专业</w:t>
            </w:r>
            <w:r>
              <w:rPr>
                <w:rFonts w:hint="eastAsia" w:ascii="宋体" w:hAnsi="宋体" w:cs="宋体"/>
                <w:color w:val="auto"/>
                <w:sz w:val="21"/>
                <w:szCs w:val="21"/>
                <w:highlight w:val="none"/>
                <w:lang w:eastAsia="zh-CN"/>
              </w:rPr>
              <w:t>）的</w:t>
            </w:r>
            <w:r>
              <w:rPr>
                <w:rFonts w:hint="eastAsia" w:ascii="宋体" w:hAnsi="宋体" w:eastAsia="宋体" w:cs="宋体"/>
                <w:color w:val="auto"/>
                <w:sz w:val="21"/>
                <w:szCs w:val="21"/>
                <w:highlight w:val="none"/>
              </w:rPr>
              <w:t>，每提供一个人得2分，此项最高得4分；</w:t>
            </w:r>
          </w:p>
          <w:p>
            <w:pPr>
              <w:keepNext w:val="0"/>
              <w:keepLines w:val="0"/>
              <w:pageBreakBefore w:val="0"/>
              <w:suppressLineNumbers w:val="0"/>
              <w:tabs>
                <w:tab w:val="left" w:pos="426"/>
              </w:tabs>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2项目团队成员具有影视、新闻、摄影（摄像）、编剧、导演（编导）相关专业中级</w:t>
            </w:r>
            <w:r>
              <w:rPr>
                <w:rFonts w:hint="eastAsia" w:ascii="宋体" w:hAnsi="宋体" w:eastAsia="宋体" w:cs="宋体"/>
                <w:color w:val="auto"/>
                <w:sz w:val="21"/>
                <w:szCs w:val="21"/>
                <w:highlight w:val="none"/>
                <w:lang w:val="en-US" w:eastAsia="zh-CN"/>
              </w:rPr>
              <w:t>或</w:t>
            </w:r>
            <w:r>
              <w:rPr>
                <w:rFonts w:hint="eastAsia" w:ascii="宋体" w:hAnsi="宋体" w:eastAsia="宋体" w:cs="宋体"/>
                <w:color w:val="auto"/>
                <w:sz w:val="21"/>
                <w:szCs w:val="21"/>
                <w:highlight w:val="none"/>
              </w:rPr>
              <w:t>以上工程师职称的（同一个人多职称的不可以累计得分），每提供一</w:t>
            </w:r>
            <w:r>
              <w:rPr>
                <w:rFonts w:hint="eastAsia" w:ascii="宋体" w:hAnsi="宋体" w:cs="宋体"/>
                <w:color w:val="auto"/>
                <w:sz w:val="21"/>
                <w:szCs w:val="21"/>
                <w:highlight w:val="none"/>
                <w:lang w:val="en-US" w:eastAsia="zh-CN"/>
              </w:rPr>
              <w:t>人</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分，此项最高得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suppressLineNumbers w:val="0"/>
              <w:kinsoku/>
              <w:wordWrap/>
              <w:overflowPunct/>
              <w:topLinePunct w:val="0"/>
              <w:bidi w:val="0"/>
              <w:spacing w:before="0" w:beforeAutospacing="0" w:after="0" w:afterAutospacing="0" w:line="360" w:lineRule="auto"/>
              <w:ind w:left="0" w:right="-88" w:rightChars="-42"/>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项目团队成员中</w:t>
            </w:r>
            <w:r>
              <w:rPr>
                <w:rFonts w:hint="eastAsia" w:ascii="宋体" w:hAnsi="宋体" w:eastAsia="宋体" w:cs="宋体"/>
                <w:color w:val="auto"/>
                <w:sz w:val="21"/>
                <w:szCs w:val="21"/>
                <w:highlight w:val="none"/>
                <w:lang w:val="en-US" w:eastAsia="zh-CN"/>
              </w:rPr>
              <w:t>具</w:t>
            </w:r>
            <w:r>
              <w:rPr>
                <w:rFonts w:hint="eastAsia" w:ascii="宋体" w:hAnsi="宋体" w:eastAsia="宋体" w:cs="宋体"/>
                <w:color w:val="auto"/>
                <w:sz w:val="21"/>
                <w:szCs w:val="21"/>
                <w:highlight w:val="none"/>
              </w:rPr>
              <w:t>有医学类中级或以上职称，每提供一</w:t>
            </w:r>
            <w:r>
              <w:rPr>
                <w:rFonts w:hint="eastAsia" w:ascii="宋体" w:hAnsi="宋体" w:eastAsia="宋体" w:cs="宋体"/>
                <w:color w:val="auto"/>
                <w:sz w:val="21"/>
                <w:szCs w:val="21"/>
                <w:highlight w:val="none"/>
                <w:lang w:val="en-US" w:eastAsia="zh-CN"/>
              </w:rPr>
              <w:t>人</w:t>
            </w:r>
            <w:r>
              <w:rPr>
                <w:rFonts w:hint="eastAsia" w:ascii="宋体" w:hAnsi="宋体" w:eastAsia="宋体" w:cs="宋体"/>
                <w:color w:val="auto"/>
                <w:sz w:val="21"/>
                <w:szCs w:val="21"/>
                <w:highlight w:val="none"/>
              </w:rPr>
              <w:t>得</w:t>
            </w:r>
            <w:r>
              <w:rPr>
                <w:rFonts w:hint="eastAsia" w:ascii="宋体" w:hAnsi="宋体" w:cs="宋体"/>
                <w:color w:val="auto"/>
                <w:sz w:val="21"/>
                <w:szCs w:val="21"/>
                <w:highlight w:val="none"/>
                <w:lang w:val="en-US" w:eastAsia="zh-CN"/>
              </w:rPr>
              <w:t>3</w:t>
            </w:r>
            <w:r>
              <w:rPr>
                <w:rFonts w:hint="eastAsia" w:ascii="宋体" w:hAnsi="宋体" w:eastAsia="宋体" w:cs="宋体"/>
                <w:color w:val="auto"/>
                <w:sz w:val="21"/>
                <w:szCs w:val="21"/>
                <w:highlight w:val="none"/>
              </w:rPr>
              <w:t>分，此项最高得</w:t>
            </w:r>
            <w:r>
              <w:rPr>
                <w:rFonts w:hint="eastAsia" w:ascii="宋体" w:hAnsi="宋体" w:cs="宋体"/>
                <w:color w:val="auto"/>
                <w:sz w:val="21"/>
                <w:szCs w:val="21"/>
                <w:highlight w:val="none"/>
                <w:lang w:val="en-US" w:eastAsia="zh-CN"/>
              </w:rPr>
              <w:t>6</w:t>
            </w:r>
            <w:r>
              <w:rPr>
                <w:rFonts w:hint="eastAsia" w:ascii="宋体" w:hAnsi="宋体" w:eastAsia="宋体" w:cs="宋体"/>
                <w:color w:val="auto"/>
                <w:sz w:val="21"/>
                <w:szCs w:val="21"/>
                <w:highlight w:val="none"/>
              </w:rPr>
              <w:t>分。</w:t>
            </w:r>
          </w:p>
          <w:p>
            <w:pPr>
              <w:keepNext w:val="0"/>
              <w:keepLines w:val="0"/>
              <w:pageBreakBefore w:val="0"/>
              <w:suppressLineNumbers w:val="0"/>
              <w:kinsoku/>
              <w:wordWrap/>
              <w:overflowPunct/>
              <w:topLinePunct w:val="0"/>
              <w:bidi w:val="0"/>
              <w:spacing w:before="0" w:beforeAutospacing="0" w:after="0" w:afterAutospacing="0" w:line="360" w:lineRule="auto"/>
              <w:ind w:left="0" w:right="-88" w:rightChars="-42"/>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注：</w:t>
            </w:r>
            <w:r>
              <w:rPr>
                <w:rFonts w:hint="eastAsia" w:ascii="宋体" w:hAnsi="宋体" w:eastAsia="宋体" w:cs="宋体"/>
                <w:color w:val="auto"/>
                <w:sz w:val="21"/>
                <w:szCs w:val="21"/>
                <w:highlight w:val="none"/>
              </w:rPr>
              <w:t>同一人员不重复计分，以上</w:t>
            </w:r>
            <w:r>
              <w:rPr>
                <w:rFonts w:hint="eastAsia" w:ascii="宋体" w:hAnsi="宋体" w:eastAsia="宋体" w:cs="宋体"/>
                <w:color w:val="auto"/>
                <w:sz w:val="21"/>
                <w:szCs w:val="21"/>
                <w:highlight w:val="none"/>
                <w:lang w:val="en-US" w:eastAsia="zh-CN"/>
              </w:rPr>
              <w:t>累计</w:t>
            </w:r>
            <w:r>
              <w:rPr>
                <w:rFonts w:hint="eastAsia" w:ascii="宋体" w:hAnsi="宋体" w:eastAsia="宋体" w:cs="宋体"/>
                <w:color w:val="auto"/>
                <w:sz w:val="21"/>
                <w:szCs w:val="21"/>
                <w:highlight w:val="none"/>
              </w:rPr>
              <w:t>最高得1</w:t>
            </w:r>
            <w:r>
              <w:rPr>
                <w:rFonts w:hint="eastAsia" w:ascii="宋体" w:hAnsi="宋体" w:eastAsia="宋体" w:cs="宋体"/>
                <w:color w:val="auto"/>
                <w:sz w:val="21"/>
                <w:szCs w:val="21"/>
                <w:highlight w:val="none"/>
                <w:lang w:eastAsia="zh-CN"/>
              </w:rPr>
              <w:t>6</w:t>
            </w:r>
            <w:r>
              <w:rPr>
                <w:rFonts w:hint="eastAsia" w:ascii="宋体" w:hAnsi="宋体" w:eastAsia="宋体" w:cs="宋体"/>
                <w:color w:val="auto"/>
                <w:sz w:val="21"/>
                <w:szCs w:val="21"/>
                <w:highlight w:val="none"/>
              </w:rPr>
              <w:t>分。</w:t>
            </w:r>
          </w:p>
          <w:p>
            <w:pPr>
              <w:keepNext w:val="0"/>
              <w:keepLines w:val="0"/>
              <w:pageBreakBefore w:val="0"/>
              <w:suppressLineNumbers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p>
          <w:p>
            <w:pPr>
              <w:keepNext w:val="0"/>
              <w:keepLines w:val="0"/>
              <w:pageBreakBefore w:val="0"/>
              <w:suppressLineNumbers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（二）</w:t>
            </w:r>
            <w:r>
              <w:rPr>
                <w:rFonts w:hint="eastAsia" w:ascii="宋体" w:hAnsi="宋体" w:eastAsia="宋体" w:cs="宋体"/>
                <w:color w:val="auto"/>
                <w:kern w:val="0"/>
                <w:sz w:val="21"/>
                <w:szCs w:val="21"/>
                <w:highlight w:val="none"/>
              </w:rPr>
              <w:t>评分依据：</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1.提供项目团队成员通过投标单位缴纳的载有社保部门或税务部门公章的近三个月内任意一个月的个人社保证明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如供应商为新成立单位且成立时间不足一个月的，可提供加盖公章的情况说明或者证明材料，无需提供相关人员社保，亦视为符合；如为退休返聘</w:t>
            </w:r>
            <w:r>
              <w:rPr>
                <w:rFonts w:hint="eastAsia" w:ascii="宋体" w:hAnsi="宋体" w:cs="宋体"/>
                <w:color w:val="auto"/>
                <w:sz w:val="21"/>
                <w:szCs w:val="21"/>
                <w:highlight w:val="none"/>
                <w:lang w:val="en-US" w:eastAsia="zh-CN"/>
              </w:rPr>
              <w:t>或聘任</w:t>
            </w:r>
            <w:r>
              <w:rPr>
                <w:rFonts w:hint="eastAsia" w:ascii="宋体" w:hAnsi="宋体" w:eastAsia="宋体" w:cs="宋体"/>
                <w:color w:val="auto"/>
                <w:sz w:val="21"/>
                <w:szCs w:val="21"/>
                <w:highlight w:val="none"/>
              </w:rPr>
              <w:t>人员</w:t>
            </w:r>
            <w:r>
              <w:rPr>
                <w:rFonts w:hint="eastAsia" w:ascii="宋体" w:hAnsi="宋体" w:cs="宋体"/>
                <w:color w:val="auto"/>
                <w:sz w:val="21"/>
                <w:szCs w:val="21"/>
                <w:highlight w:val="none"/>
                <w:lang w:val="en-US" w:eastAsia="zh-CN"/>
              </w:rPr>
              <w:t>则</w:t>
            </w:r>
            <w:bookmarkStart w:id="110" w:name="_GoBack"/>
            <w:bookmarkEnd w:id="110"/>
            <w:r>
              <w:rPr>
                <w:rFonts w:hint="eastAsia" w:ascii="宋体" w:hAnsi="宋体" w:cs="宋体"/>
                <w:color w:val="auto"/>
                <w:sz w:val="21"/>
                <w:szCs w:val="21"/>
                <w:highlight w:val="none"/>
                <w:lang w:val="en-US" w:eastAsia="zh-CN"/>
              </w:rPr>
              <w:t>提供</w:t>
            </w:r>
            <w:r>
              <w:rPr>
                <w:rFonts w:hint="eastAsia" w:ascii="宋体" w:hAnsi="宋体" w:eastAsia="宋体" w:cs="宋体"/>
                <w:color w:val="auto"/>
                <w:sz w:val="21"/>
                <w:szCs w:val="21"/>
                <w:highlight w:val="none"/>
              </w:rPr>
              <w:t>返聘协议</w:t>
            </w:r>
            <w:r>
              <w:rPr>
                <w:rFonts w:hint="eastAsia" w:ascii="宋体" w:hAnsi="宋体" w:cs="宋体"/>
                <w:color w:val="auto"/>
                <w:sz w:val="21"/>
                <w:szCs w:val="21"/>
                <w:highlight w:val="none"/>
                <w:lang w:val="en-US" w:eastAsia="zh-CN"/>
              </w:rPr>
              <w:t>或</w:t>
            </w:r>
            <w:r>
              <w:rPr>
                <w:rFonts w:hint="eastAsia"/>
                <w:lang w:val="en-US" w:eastAsia="zh-CN"/>
              </w:rPr>
              <w:t>投标单位颁发的</w:t>
            </w:r>
            <w:r>
              <w:rPr>
                <w:rFonts w:hint="eastAsia" w:ascii="宋体" w:hAnsi="宋体" w:cs="宋体"/>
                <w:color w:val="auto"/>
                <w:sz w:val="21"/>
                <w:szCs w:val="21"/>
                <w:highlight w:val="none"/>
                <w:lang w:val="en-US" w:eastAsia="zh-CN"/>
              </w:rPr>
              <w:t>相关聘书</w:t>
            </w:r>
            <w:r>
              <w:rPr>
                <w:rFonts w:hint="eastAsia" w:ascii="宋体" w:hAnsi="宋体" w:eastAsia="宋体" w:cs="宋体"/>
                <w:color w:val="auto"/>
                <w:sz w:val="21"/>
                <w:szCs w:val="21"/>
                <w:highlight w:val="none"/>
              </w:rPr>
              <w:t>，无需提供相关人员社保，亦视为符合</w:t>
            </w:r>
            <w:r>
              <w:rPr>
                <w:rFonts w:hint="eastAsia" w:ascii="宋体" w:hAnsi="宋体" w:cs="宋体"/>
                <w:color w:val="auto"/>
                <w:sz w:val="21"/>
                <w:szCs w:val="21"/>
                <w:highlight w:val="none"/>
                <w:lang w:eastAsia="zh-CN"/>
              </w:rPr>
              <w:t>）</w:t>
            </w:r>
            <w:r>
              <w:rPr>
                <w:rFonts w:hint="eastAsia"/>
                <w:lang w:val="en-US" w:eastAsia="zh-CN"/>
              </w:rPr>
              <w:t>或与投标单位签订的劳动合同</w:t>
            </w:r>
            <w:r>
              <w:rPr>
                <w:rFonts w:hint="eastAsia" w:ascii="宋体" w:hAnsi="宋体" w:eastAsia="宋体" w:cs="宋体"/>
                <w:color w:val="auto"/>
                <w:sz w:val="21"/>
                <w:szCs w:val="21"/>
                <w:highlight w:val="none"/>
              </w:rPr>
              <w:t>；</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2.提供上述职称证书、毕业证书以及学信网查询记录，对于学信网无法查询的，还需提供毕业院校或人社部门或教育部门等颁发机构或监管机构出具的证明，否则无效；</w:t>
            </w:r>
          </w:p>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lang w:val="zh-CN"/>
              </w:rPr>
              <w:t>三、商务部分</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b/>
                <w:color w:val="auto"/>
                <w:sz w:val="21"/>
                <w:szCs w:val="21"/>
                <w:highlight w:val="none"/>
                <w:lang w:val="en-US" w:eastAsia="zh-CN"/>
              </w:rPr>
            </w:pPr>
            <w:r>
              <w:rPr>
                <w:rFonts w:hint="eastAsia" w:ascii="宋体" w:hAnsi="宋体" w:eastAsia="宋体" w:cs="宋体"/>
                <w:b/>
                <w:color w:val="auto"/>
                <w:sz w:val="21"/>
                <w:szCs w:val="21"/>
                <w:highlight w:val="none"/>
                <w:lang w:val="en-US" w:eastAsia="zh-CN"/>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序号</w:t>
            </w:r>
          </w:p>
        </w:tc>
        <w:tc>
          <w:tcPr>
            <w:tcW w:w="1143"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内容</w:t>
            </w:r>
          </w:p>
        </w:tc>
        <w:tc>
          <w:tcPr>
            <w:tcW w:w="709"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权重</w:t>
            </w:r>
          </w:p>
        </w:tc>
        <w:tc>
          <w:tcPr>
            <w:tcW w:w="5953"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评分规则</w:t>
            </w:r>
          </w:p>
        </w:tc>
        <w:tc>
          <w:tcPr>
            <w:tcW w:w="1187"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9"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1</w:t>
            </w:r>
          </w:p>
        </w:tc>
        <w:tc>
          <w:tcPr>
            <w:tcW w:w="1143"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snapToGrid w:val="0"/>
                <w:color w:val="auto"/>
                <w:kern w:val="0"/>
                <w:sz w:val="21"/>
                <w:szCs w:val="21"/>
                <w:highlight w:val="none"/>
              </w:rPr>
            </w:pPr>
            <w:r>
              <w:rPr>
                <w:rFonts w:hint="eastAsia" w:ascii="宋体" w:hAnsi="宋体" w:eastAsia="宋体" w:cs="宋体"/>
                <w:color w:val="auto"/>
                <w:kern w:val="0"/>
                <w:sz w:val="21"/>
                <w:szCs w:val="21"/>
                <w:highlight w:val="none"/>
              </w:rPr>
              <w:t>同类项目业绩情况</w:t>
            </w:r>
          </w:p>
        </w:tc>
        <w:tc>
          <w:tcPr>
            <w:tcW w:w="709" w:type="dxa"/>
            <w:vAlign w:val="center"/>
          </w:tcPr>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jc w:val="center"/>
              <w:textAlignment w:val="auto"/>
              <w:rPr>
                <w:rFonts w:hint="eastAsia" w:ascii="宋体" w:hAnsi="宋体" w:eastAsia="宋体" w:cs="宋体"/>
                <w:snapToGrid w:val="0"/>
                <w:color w:val="auto"/>
                <w:kern w:val="0"/>
                <w:sz w:val="21"/>
                <w:szCs w:val="21"/>
                <w:highlight w:val="none"/>
                <w:lang w:eastAsia="zh-CN"/>
              </w:rPr>
            </w:pPr>
            <w:r>
              <w:rPr>
                <w:rFonts w:hint="eastAsia" w:ascii="宋体" w:hAnsi="宋体" w:eastAsia="宋体" w:cs="宋体"/>
                <w:snapToGrid w:val="0"/>
                <w:color w:val="auto"/>
                <w:kern w:val="0"/>
                <w:szCs w:val="21"/>
                <w:highlight w:val="none"/>
              </w:rPr>
              <w:t>1</w:t>
            </w:r>
            <w:r>
              <w:rPr>
                <w:rFonts w:hint="eastAsia" w:ascii="宋体" w:hAnsi="宋体" w:eastAsia="宋体" w:cs="宋体"/>
                <w:snapToGrid w:val="0"/>
                <w:color w:val="auto"/>
                <w:kern w:val="0"/>
                <w:szCs w:val="21"/>
                <w:highlight w:val="none"/>
                <w:lang w:val="en-US" w:eastAsia="zh-CN"/>
              </w:rPr>
              <w:t>5</w:t>
            </w:r>
          </w:p>
        </w:tc>
        <w:tc>
          <w:tcPr>
            <w:tcW w:w="595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一）评分内容：</w:t>
            </w:r>
          </w:p>
          <w:p>
            <w:pPr>
              <w:keepNext w:val="0"/>
              <w:keepLines w:val="0"/>
              <w:pageBreakBefore w:val="0"/>
              <w:suppressLineNumbers w:val="0"/>
              <w:tabs>
                <w:tab w:val="left" w:pos="426"/>
              </w:tabs>
              <w:kinsoku/>
              <w:wordWrap/>
              <w:overflowPunct/>
              <w:topLinePunct w:val="0"/>
              <w:bidi w:val="0"/>
              <w:spacing w:before="0" w:beforeAutospacing="0" w:after="0" w:afterAutospacing="0" w:line="360" w:lineRule="auto"/>
              <w:ind w:left="0" w:right="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2022年1月1日至本项目投标截止之日</w:t>
            </w:r>
            <w:r>
              <w:rPr>
                <w:rFonts w:hint="eastAsia" w:ascii="宋体" w:hAnsi="宋体" w:cs="宋体"/>
                <w:szCs w:val="21"/>
              </w:rPr>
              <w:t>（以合同签订日期为准）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投标人</w:t>
            </w:r>
            <w:r>
              <w:rPr>
                <w:rFonts w:hint="eastAsia" w:ascii="宋体" w:hAnsi="宋体" w:eastAsia="宋体" w:cs="宋体"/>
                <w:color w:val="auto"/>
                <w:sz w:val="21"/>
                <w:szCs w:val="21"/>
                <w:highlight w:val="none"/>
              </w:rPr>
              <w:t>具有</w:t>
            </w:r>
            <w:r>
              <w:rPr>
                <w:rFonts w:hint="eastAsia" w:ascii="宋体" w:hAnsi="宋体" w:eastAsia="宋体" w:cs="宋体"/>
                <w:color w:val="auto"/>
                <w:sz w:val="21"/>
                <w:szCs w:val="21"/>
                <w:highlight w:val="none"/>
                <w:lang w:val="en-US" w:eastAsia="zh-CN"/>
              </w:rPr>
              <w:t>医疗</w:t>
            </w:r>
            <w:r>
              <w:rPr>
                <w:rFonts w:hint="eastAsia" w:ascii="宋体" w:hAnsi="宋体" w:eastAsia="宋体" w:cs="宋体"/>
                <w:color w:val="auto"/>
                <w:sz w:val="21"/>
                <w:szCs w:val="21"/>
                <w:highlight w:val="none"/>
              </w:rPr>
              <w:t>卫生健康相关宣传项目经验</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rPr>
              <w:t>每提供1个同类经验得3分，本项最高得15分。同一项目续签可累计得分</w:t>
            </w:r>
            <w:r>
              <w:rPr>
                <w:rFonts w:hint="eastAsia" w:ascii="宋体" w:hAnsi="宋体" w:cs="宋体"/>
                <w:color w:val="auto"/>
                <w:sz w:val="21"/>
                <w:szCs w:val="21"/>
                <w:highlight w:val="none"/>
                <w:lang w:eastAsia="zh-CN"/>
              </w:rPr>
              <w:t>。</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 w:val="0"/>
                <w:bCs w:val="0"/>
                <w:color w:val="auto"/>
                <w:kern w:val="0"/>
                <w:szCs w:val="21"/>
                <w:highlight w:val="none"/>
              </w:rPr>
            </w:pP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（二）评分依据：</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1.提供合同关键页（关键信息包括但不仅限于合同的项目名称、服务内容、合同服务期限、甲乙双方签字盖章页）且提供的材料各项信息不得有任何遮挡；</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 w:val="0"/>
                <w:bCs w:val="0"/>
                <w:color w:val="auto"/>
                <w:kern w:val="0"/>
                <w:szCs w:val="21"/>
                <w:highlight w:val="none"/>
              </w:rPr>
            </w:pPr>
            <w:r>
              <w:rPr>
                <w:rFonts w:hint="eastAsia" w:ascii="宋体" w:hAnsi="宋体" w:eastAsia="宋体" w:cs="宋体"/>
                <w:b w:val="0"/>
                <w:bCs w:val="0"/>
                <w:color w:val="auto"/>
                <w:kern w:val="0"/>
                <w:szCs w:val="21"/>
                <w:highlight w:val="none"/>
              </w:rPr>
              <w:t>2.通过合同关键信息无法判断是否得分的，还需提供能证明得分的其它证明资料，如项目报告或合同甲方出具的证明文件；</w:t>
            </w:r>
          </w:p>
          <w:p>
            <w:pPr>
              <w:keepNext w:val="0"/>
              <w:keepLines w:val="0"/>
              <w:pageBreakBefore w:val="0"/>
              <w:suppressLineNumbers w:val="0"/>
              <w:kinsoku/>
              <w:wordWrap/>
              <w:overflowPunct/>
              <w:topLinePunct w:val="0"/>
              <w:bidi w:val="0"/>
              <w:adjustRightInd w:val="0"/>
              <w:snapToGrid w:val="0"/>
              <w:spacing w:before="0" w:beforeAutospacing="0" w:after="0" w:afterAutospacing="0" w:line="360" w:lineRule="auto"/>
              <w:ind w:left="0" w:right="0"/>
              <w:textAlignment w:val="auto"/>
              <w:rPr>
                <w:rFonts w:hint="eastAsia" w:ascii="宋体" w:hAnsi="宋体" w:eastAsia="宋体" w:cs="宋体"/>
                <w:b/>
                <w:bCs/>
                <w:color w:val="auto"/>
                <w:kern w:val="0"/>
                <w:szCs w:val="21"/>
                <w:highlight w:val="none"/>
              </w:rPr>
            </w:pPr>
            <w:r>
              <w:rPr>
                <w:rFonts w:hint="eastAsia" w:ascii="宋体" w:hAnsi="宋体" w:eastAsia="宋体" w:cs="宋体"/>
                <w:b w:val="0"/>
                <w:bCs w:val="0"/>
                <w:color w:val="auto"/>
                <w:kern w:val="0"/>
                <w:szCs w:val="21"/>
                <w:highlight w:val="none"/>
                <w:lang w:val="en-US" w:eastAsia="zh-CN"/>
              </w:rPr>
              <w:t>3.</w:t>
            </w:r>
            <w:r>
              <w:rPr>
                <w:rFonts w:hint="eastAsia" w:ascii="宋体" w:hAnsi="宋体" w:eastAsia="宋体" w:cs="宋体"/>
                <w:b w:val="0"/>
                <w:bCs w:val="0"/>
                <w:color w:val="auto"/>
                <w:kern w:val="0"/>
                <w:szCs w:val="21"/>
                <w:highlight w:val="none"/>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widowControl/>
              <w:suppressLineNumbers w:val="0"/>
              <w:kinsoku/>
              <w:wordWrap/>
              <w:overflowPunct/>
              <w:topLinePunct w:val="0"/>
              <w:bidi w:val="0"/>
              <w:snapToGrid w:val="0"/>
              <w:spacing w:before="0" w:beforeAutospacing="0" w:after="0" w:afterAutospacing="0" w:line="360" w:lineRule="auto"/>
              <w:ind w:left="0" w:right="0"/>
              <w:jc w:val="center"/>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val="en-US" w:eastAsia="zh-CN"/>
              </w:rPr>
              <w:t>2</w:t>
            </w:r>
          </w:p>
        </w:tc>
        <w:tc>
          <w:tcPr>
            <w:tcW w:w="114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zh-CN"/>
              </w:rPr>
              <w:t>获奖（荣誉）情况</w:t>
            </w:r>
          </w:p>
        </w:tc>
        <w:tc>
          <w:tcPr>
            <w:tcW w:w="709"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10</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0"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（一）评分内容：</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color w:val="auto"/>
                <w:sz w:val="21"/>
                <w:szCs w:val="21"/>
                <w:highlight w:val="none"/>
              </w:rPr>
              <w:t>2019</w:t>
            </w:r>
            <w:r>
              <w:rPr>
                <w:rFonts w:hint="eastAsia" w:ascii="宋体" w:hAnsi="宋体" w:eastAsia="宋体" w:cs="宋体"/>
                <w:bCs/>
                <w:color w:val="auto"/>
                <w:kern w:val="0"/>
                <w:sz w:val="21"/>
                <w:szCs w:val="21"/>
                <w:highlight w:val="none"/>
              </w:rPr>
              <w:t>年1月1日至</w:t>
            </w:r>
            <w:r>
              <w:rPr>
                <w:rFonts w:hint="eastAsia" w:ascii="宋体" w:hAnsi="宋体" w:eastAsia="宋体" w:cs="宋体"/>
                <w:color w:val="auto"/>
                <w:sz w:val="21"/>
                <w:szCs w:val="21"/>
                <w:highlight w:val="none"/>
              </w:rPr>
              <w:t>本项目投标截止日</w:t>
            </w:r>
            <w:r>
              <w:rPr>
                <w:rFonts w:hint="eastAsia" w:ascii="宋体" w:hAnsi="宋体" w:eastAsia="宋体" w:cs="宋体"/>
                <w:bCs/>
                <w:color w:val="auto"/>
                <w:kern w:val="0"/>
                <w:sz w:val="21"/>
                <w:szCs w:val="21"/>
                <w:highlight w:val="none"/>
              </w:rPr>
              <w:t>（以证书颁发日期为准），投标人</w:t>
            </w:r>
            <w:r>
              <w:rPr>
                <w:rFonts w:hint="eastAsia" w:ascii="宋体" w:hAnsi="宋体" w:cs="宋体"/>
                <w:bCs/>
                <w:color w:val="auto"/>
                <w:kern w:val="0"/>
                <w:sz w:val="21"/>
                <w:szCs w:val="21"/>
                <w:highlight w:val="none"/>
                <w:lang w:val="en-US" w:eastAsia="zh-CN"/>
              </w:rPr>
              <w:t>作品或投标人所属员工作品</w:t>
            </w:r>
            <w:r>
              <w:rPr>
                <w:rFonts w:hint="eastAsia" w:ascii="宋体" w:hAnsi="宋体" w:eastAsia="宋体" w:cs="宋体"/>
                <w:bCs/>
                <w:color w:val="auto"/>
                <w:kern w:val="0"/>
                <w:sz w:val="21"/>
                <w:szCs w:val="21"/>
                <w:highlight w:val="none"/>
              </w:rPr>
              <w:t>获得以下荣誉或奖项：</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1）国家级奖项每一个得</w:t>
            </w:r>
            <w:r>
              <w:rPr>
                <w:rFonts w:hint="eastAsia" w:ascii="宋体" w:hAnsi="宋体" w:eastAsia="宋体" w:cs="宋体"/>
                <w:bCs/>
                <w:color w:val="auto"/>
                <w:kern w:val="0"/>
                <w:sz w:val="21"/>
                <w:szCs w:val="21"/>
                <w:highlight w:val="none"/>
                <w:lang w:val="en-US" w:eastAsia="zh-CN"/>
              </w:rPr>
              <w:t>3</w:t>
            </w:r>
            <w:r>
              <w:rPr>
                <w:rFonts w:hint="eastAsia" w:ascii="宋体" w:hAnsi="宋体" w:eastAsia="宋体" w:cs="宋体"/>
                <w:bCs/>
                <w:color w:val="auto"/>
                <w:kern w:val="0"/>
                <w:sz w:val="21"/>
                <w:szCs w:val="21"/>
                <w:highlight w:val="none"/>
              </w:rPr>
              <w:t>分；</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2）省级或以上奖项每一个得</w:t>
            </w:r>
            <w:r>
              <w:rPr>
                <w:rFonts w:hint="eastAsia" w:ascii="宋体" w:hAnsi="宋体" w:eastAsia="宋体" w:cs="宋体"/>
                <w:bCs/>
                <w:color w:val="auto"/>
                <w:kern w:val="0"/>
                <w:sz w:val="21"/>
                <w:szCs w:val="21"/>
                <w:highlight w:val="none"/>
                <w:lang w:val="en-US" w:eastAsia="zh-CN"/>
              </w:rPr>
              <w:t>2</w:t>
            </w:r>
            <w:r>
              <w:rPr>
                <w:rFonts w:hint="eastAsia" w:ascii="宋体" w:hAnsi="宋体" w:eastAsia="宋体" w:cs="宋体"/>
                <w:bCs/>
                <w:color w:val="auto"/>
                <w:kern w:val="0"/>
                <w:sz w:val="21"/>
                <w:szCs w:val="21"/>
                <w:highlight w:val="none"/>
              </w:rPr>
              <w:t>分；</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3）市级或以上奖项每一个得1分；</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4）其他不得分，累计最高得</w:t>
            </w:r>
            <w:r>
              <w:rPr>
                <w:rFonts w:hint="eastAsia" w:ascii="宋体" w:hAnsi="宋体" w:eastAsia="宋体" w:cs="宋体"/>
                <w:bCs/>
                <w:color w:val="auto"/>
                <w:kern w:val="0"/>
                <w:sz w:val="21"/>
                <w:szCs w:val="21"/>
                <w:highlight w:val="none"/>
                <w:lang w:val="en-US" w:eastAsia="zh-CN"/>
              </w:rPr>
              <w:t>10</w:t>
            </w:r>
            <w:r>
              <w:rPr>
                <w:rFonts w:hint="eastAsia" w:ascii="宋体" w:hAnsi="宋体" w:eastAsia="宋体" w:cs="宋体"/>
                <w:bCs/>
                <w:color w:val="auto"/>
                <w:kern w:val="0"/>
                <w:sz w:val="21"/>
                <w:szCs w:val="21"/>
                <w:highlight w:val="none"/>
              </w:rPr>
              <w:t>分。</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bCs/>
                <w:color w:val="auto"/>
                <w:kern w:val="0"/>
                <w:sz w:val="21"/>
                <w:szCs w:val="21"/>
                <w:highlight w:val="none"/>
              </w:rPr>
            </w:pPr>
            <w:r>
              <w:rPr>
                <w:rFonts w:hint="eastAsia" w:ascii="宋体" w:hAnsi="宋体" w:eastAsia="宋体" w:cs="宋体"/>
                <w:bCs/>
                <w:color w:val="auto"/>
                <w:kern w:val="0"/>
                <w:sz w:val="21"/>
                <w:szCs w:val="21"/>
                <w:highlight w:val="none"/>
              </w:rPr>
              <w:t>国家级奖项要求颁发单位为国务院或国家部委；省级奖项要求颁发单位为省级（含自治区、直辖市）人民政府（或行业主管行政机关），不含副省级；市级奖项要求颁发单位为市级人民政府（或行业主管行政机关）。</w:t>
            </w: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p>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（二）评分依据：</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cs="宋体"/>
                <w:color w:val="auto"/>
                <w:sz w:val="21"/>
                <w:szCs w:val="21"/>
                <w:highlight w:val="none"/>
                <w:lang w:eastAsia="zh-CN"/>
              </w:rPr>
            </w:pPr>
            <w:r>
              <w:rPr>
                <w:rFonts w:hint="eastAsia" w:ascii="宋体" w:hAnsi="宋体" w:eastAsia="宋体" w:cs="宋体"/>
                <w:color w:val="auto"/>
                <w:sz w:val="21"/>
                <w:szCs w:val="21"/>
                <w:highlight w:val="none"/>
              </w:rPr>
              <w:t>1.要求提供奖项照片或获奖（荣誉）证书作为得分依据</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如荣誉或奖项由投标人自有员工获得的，还需同时提供该人员通过投标单位缴纳的载有社保部门或税务部门公章的近三个月内任意一个月的个人社保证明</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如供应商为新成立单位且成立时间不足一个月的，可提供加盖公章的情况说明或者证明材料，无需提供相关人员社保，亦视为符合；如为退休返聘</w:t>
            </w:r>
            <w:r>
              <w:rPr>
                <w:rFonts w:hint="eastAsia" w:ascii="宋体" w:hAnsi="宋体" w:cs="宋体"/>
                <w:color w:val="auto"/>
                <w:sz w:val="21"/>
                <w:szCs w:val="21"/>
                <w:highlight w:val="none"/>
                <w:lang w:val="en-US" w:eastAsia="zh-CN"/>
              </w:rPr>
              <w:t>或聘任</w:t>
            </w:r>
            <w:r>
              <w:rPr>
                <w:rFonts w:hint="eastAsia" w:ascii="宋体" w:hAnsi="宋体" w:eastAsia="宋体" w:cs="宋体"/>
                <w:color w:val="auto"/>
                <w:sz w:val="21"/>
                <w:szCs w:val="21"/>
                <w:highlight w:val="none"/>
              </w:rPr>
              <w:t>人员</w:t>
            </w:r>
            <w:r>
              <w:rPr>
                <w:rFonts w:hint="eastAsia" w:ascii="宋体" w:hAnsi="宋体" w:cs="宋体"/>
                <w:color w:val="auto"/>
                <w:sz w:val="21"/>
                <w:szCs w:val="21"/>
                <w:highlight w:val="none"/>
                <w:lang w:val="en-US" w:eastAsia="zh-CN"/>
              </w:rPr>
              <w:t>或提供</w:t>
            </w:r>
            <w:r>
              <w:rPr>
                <w:rFonts w:hint="eastAsia" w:ascii="宋体" w:hAnsi="宋体" w:eastAsia="宋体" w:cs="宋体"/>
                <w:color w:val="auto"/>
                <w:sz w:val="21"/>
                <w:szCs w:val="21"/>
                <w:highlight w:val="none"/>
              </w:rPr>
              <w:t>返聘协议</w:t>
            </w:r>
            <w:r>
              <w:rPr>
                <w:rFonts w:hint="eastAsia" w:ascii="宋体" w:hAnsi="宋体" w:cs="宋体"/>
                <w:color w:val="auto"/>
                <w:sz w:val="21"/>
                <w:szCs w:val="21"/>
                <w:highlight w:val="none"/>
                <w:lang w:val="en-US" w:eastAsia="zh-CN"/>
              </w:rPr>
              <w:t>或</w:t>
            </w:r>
            <w:r>
              <w:rPr>
                <w:rFonts w:hint="eastAsia"/>
                <w:lang w:val="en-US" w:eastAsia="zh-CN"/>
              </w:rPr>
              <w:t>投标单位颁发的</w:t>
            </w:r>
            <w:r>
              <w:rPr>
                <w:rFonts w:hint="eastAsia" w:ascii="宋体" w:hAnsi="宋体" w:cs="宋体"/>
                <w:color w:val="auto"/>
                <w:sz w:val="21"/>
                <w:szCs w:val="21"/>
                <w:highlight w:val="none"/>
                <w:lang w:val="en-US" w:eastAsia="zh-CN"/>
              </w:rPr>
              <w:t>相关聘书</w:t>
            </w:r>
            <w:r>
              <w:rPr>
                <w:rFonts w:hint="eastAsia" w:ascii="宋体" w:hAnsi="宋体" w:eastAsia="宋体" w:cs="宋体"/>
                <w:color w:val="auto"/>
                <w:sz w:val="21"/>
                <w:szCs w:val="21"/>
                <w:highlight w:val="none"/>
              </w:rPr>
              <w:t>，无需提供相关人员社保，亦视为符合</w:t>
            </w:r>
            <w:r>
              <w:rPr>
                <w:rFonts w:hint="eastAsia" w:ascii="宋体" w:hAnsi="宋体" w:cs="宋体"/>
                <w:color w:val="auto"/>
                <w:sz w:val="21"/>
                <w:szCs w:val="21"/>
                <w:highlight w:val="none"/>
                <w:lang w:eastAsia="zh-CN"/>
              </w:rPr>
              <w:t>）</w:t>
            </w:r>
            <w:r>
              <w:rPr>
                <w:rFonts w:hint="eastAsia"/>
                <w:lang w:val="en-US" w:eastAsia="zh-CN"/>
              </w:rPr>
              <w:t>或与投标单位签订的劳动合同</w:t>
            </w:r>
            <w:r>
              <w:rPr>
                <w:rFonts w:hint="eastAsia" w:ascii="宋体" w:hAnsi="宋体" w:cs="宋体"/>
                <w:color w:val="auto"/>
                <w:sz w:val="21"/>
                <w:szCs w:val="21"/>
                <w:highlight w:val="none"/>
                <w:lang w:val="en-US" w:eastAsia="zh-CN"/>
              </w:rPr>
              <w:t>；</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2</w:t>
            </w:r>
            <w:r>
              <w:rPr>
                <w:rFonts w:hint="eastAsia" w:ascii="宋体" w:hAnsi="宋体" w:eastAsia="宋体" w:cs="宋体"/>
                <w:color w:val="auto"/>
                <w:sz w:val="21"/>
                <w:szCs w:val="21"/>
                <w:highlight w:val="none"/>
              </w:rPr>
              <w:t>.提供以上证明文件复印件或扫描件，如涉及网站截图或照片等证明材料,需提供清晰图片,均要求加盖投标人公章,原件备查。未按要求提供有效证明材料或提供不清晰导致评委无法识别的不计得分。</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754" w:type="dxa"/>
            <w:vAlign w:val="center"/>
          </w:tcPr>
          <w:p>
            <w:pPr>
              <w:keepNext w:val="0"/>
              <w:keepLines w:val="0"/>
              <w:pageBreakBefore w:val="0"/>
              <w:suppressLineNumbers w:val="0"/>
              <w:kinsoku/>
              <w:wordWrap/>
              <w:overflowPunct/>
              <w:topLinePunct w:val="0"/>
              <w:autoSpaceDE w:val="0"/>
              <w:autoSpaceDN w:val="0"/>
              <w:bidi w:val="0"/>
              <w:adjustRightInd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eastAsia="zh-CN"/>
              </w:rPr>
            </w:pPr>
            <w:r>
              <w:rPr>
                <w:rFonts w:hint="eastAsia" w:ascii="宋体" w:hAnsi="宋体" w:eastAsia="宋体" w:cs="宋体"/>
                <w:color w:val="auto"/>
                <w:sz w:val="21"/>
                <w:szCs w:val="21"/>
                <w:highlight w:val="none"/>
                <w:lang w:val="en-US" w:eastAsia="zh-CN"/>
              </w:rPr>
              <w:t>3</w:t>
            </w:r>
          </w:p>
        </w:tc>
        <w:tc>
          <w:tcPr>
            <w:tcW w:w="1143"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诚信评审</w:t>
            </w:r>
          </w:p>
        </w:tc>
        <w:tc>
          <w:tcPr>
            <w:tcW w:w="709"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5953" w:type="dxa"/>
            <w:vAlign w:val="center"/>
          </w:tcPr>
          <w:p>
            <w:pPr>
              <w:pStyle w:val="94"/>
              <w:keepNext w:val="0"/>
              <w:keepLines w:val="0"/>
              <w:pageBreakBefore w:val="0"/>
              <w:suppressLineNumbers w:val="0"/>
              <w:kinsoku/>
              <w:wordWrap/>
              <w:overflowPunct/>
              <w:topLinePunct w:val="0"/>
              <w:bidi w:val="0"/>
              <w:spacing w:before="0" w:beforeAutospacing="0" w:after="0" w:afterAutospacing="0" w:line="360" w:lineRule="auto"/>
              <w:ind w:left="34" w:leftChars="16" w:right="0"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深圳市财政局关于印发&lt;深圳市财政局政府采购供应商信用信息管理办法&gt;的通知》（深财规〔2023〕3号）相关规定，如供应商在全国范围内存在因政府采购违法、违规行为受到财政部门罚款等一般行政处罚信息，或者存在该办法第十一条所称在本市集中采购活动中的一般违法失信行为记录信息，且在公示期内的，本项不得分，否则得5分。</w:t>
            </w:r>
          </w:p>
          <w:p>
            <w:pPr>
              <w:keepNext w:val="0"/>
              <w:keepLines w:val="0"/>
              <w:pageBreakBefore w:val="0"/>
              <w:suppressLineNumbers w:val="0"/>
              <w:tabs>
                <w:tab w:val="left" w:pos="175"/>
              </w:tabs>
              <w:kinsoku/>
              <w:wordWrap/>
              <w:overflowPunct/>
              <w:topLinePunct w:val="0"/>
              <w:bidi w:val="0"/>
              <w:spacing w:before="0" w:beforeAutospacing="0" w:after="0" w:afterAutospacing="0" w:line="360" w:lineRule="auto"/>
              <w:ind w:left="33" w:right="0"/>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（采购代理机构通过“信用中国”、“中国政府采购网”、“深圳市政府采购监管网”以及市、区财政部门认定的其他渠道查询供应商信用信息，投标人无需提供证明材料。）</w:t>
            </w:r>
          </w:p>
        </w:tc>
        <w:tc>
          <w:tcPr>
            <w:tcW w:w="1187" w:type="dxa"/>
            <w:vAlign w:val="center"/>
          </w:tcPr>
          <w:p>
            <w:pPr>
              <w:keepNext w:val="0"/>
              <w:keepLines w:val="0"/>
              <w:pageBreakBefore w:val="0"/>
              <w:suppressLineNumbers w:val="0"/>
              <w:kinsoku/>
              <w:wordWrap/>
              <w:overflowPunct/>
              <w:topLinePunct w:val="0"/>
              <w:bidi w:val="0"/>
              <w:spacing w:before="0" w:beforeAutospacing="0" w:after="0" w:afterAutospacing="0" w:line="360" w:lineRule="auto"/>
              <w:ind w:left="0" w:right="0"/>
              <w:jc w:val="center"/>
              <w:textAlignment w:val="auto"/>
              <w:rPr>
                <w:rFonts w:hint="eastAsia" w:ascii="宋体" w:hAnsi="宋体" w:eastAsia="宋体" w:cs="宋体"/>
                <w:color w:val="auto"/>
                <w:sz w:val="21"/>
                <w:szCs w:val="21"/>
                <w:highlight w:val="none"/>
                <w:lang w:val="zh-CN"/>
              </w:rPr>
            </w:pPr>
            <w:r>
              <w:rPr>
                <w:rFonts w:hint="eastAsia" w:ascii="宋体" w:hAnsi="宋体" w:eastAsia="宋体" w:cs="宋体"/>
                <w:color w:val="auto"/>
                <w:sz w:val="21"/>
                <w:szCs w:val="21"/>
                <w:highlight w:val="none"/>
              </w:rPr>
              <w:t>评委</w:t>
            </w:r>
            <w:r>
              <w:rPr>
                <w:rFonts w:hint="eastAsia" w:ascii="宋体" w:hAnsi="宋体" w:eastAsia="宋体" w:cs="宋体"/>
                <w:color w:val="auto"/>
                <w:sz w:val="21"/>
                <w:szCs w:val="21"/>
                <w:highlight w:val="none"/>
                <w:lang w:val="zh-CN"/>
              </w:rPr>
              <w:t>打分</w:t>
            </w:r>
          </w:p>
        </w:tc>
      </w:tr>
    </w:tbl>
    <w:p>
      <w:pPr>
        <w:pStyle w:val="4"/>
        <w:spacing w:before="0" w:after="0"/>
        <w:jc w:val="left"/>
        <w:rPr>
          <w:rFonts w:asciiTheme="minorEastAsia" w:hAnsiTheme="minorEastAsia"/>
          <w:bCs w:val="0"/>
          <w:sz w:val="21"/>
          <w:szCs w:val="21"/>
        </w:rPr>
      </w:pPr>
      <w:bookmarkStart w:id="10" w:name="_Toc135293165"/>
      <w:bookmarkStart w:id="11" w:name="_Toc44691162"/>
      <w:bookmarkStart w:id="12" w:name="_Toc44691394"/>
      <w:bookmarkStart w:id="13" w:name="_Toc44690430"/>
      <w:bookmarkStart w:id="14" w:name="_Toc44690703"/>
      <w:r>
        <w:rPr>
          <w:rFonts w:hint="eastAsia" w:asciiTheme="minorEastAsia" w:hAnsiTheme="minorEastAsia"/>
          <w:bCs w:val="0"/>
          <w:sz w:val="21"/>
          <w:szCs w:val="21"/>
        </w:rPr>
        <w:t>备注：</w:t>
      </w:r>
      <w:bookmarkEnd w:id="10"/>
      <w:bookmarkEnd w:id="11"/>
      <w:bookmarkEnd w:id="12"/>
      <w:bookmarkEnd w:id="13"/>
      <w:bookmarkEnd w:id="14"/>
    </w:p>
    <w:p>
      <w:pPr>
        <w:pStyle w:val="3"/>
        <w:spacing w:before="0" w:after="0"/>
      </w:pPr>
      <w:bookmarkStart w:id="15" w:name="_Toc135293166"/>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3"/>
        <w:spacing w:before="0" w:after="0"/>
        <w:rPr>
          <w:rFonts w:asciiTheme="minorEastAsia" w:hAnsiTheme="minorEastAsia" w:eastAsiaTheme="minorEastAsia"/>
        </w:rPr>
      </w:pPr>
      <w:bookmarkStart w:id="16" w:name="_Toc135293167"/>
      <w:r>
        <w:rPr>
          <w:rFonts w:hint="eastAsia" w:asciiTheme="minorEastAsia" w:hAnsiTheme="minorEastAsia" w:eastAsiaTheme="minorEastAsia"/>
        </w:rPr>
        <w:t>2、政府采购扶持政策</w:t>
      </w:r>
      <w:bookmarkEnd w:id="16"/>
    </w:p>
    <w:p>
      <w:pPr>
        <w:spacing w:after="60" w:line="360" w:lineRule="auto"/>
        <w:ind w:firstLine="426" w:firstLineChars="202"/>
        <w:rPr>
          <w:rFonts w:ascii="宋体" w:hAnsi="宋体"/>
          <w:b/>
          <w:snapToGrid w:val="0"/>
          <w:szCs w:val="21"/>
        </w:rPr>
      </w:pPr>
      <w:r>
        <w:rPr>
          <w:rFonts w:hint="eastAsia" w:ascii="宋体" w:hAnsi="宋体"/>
          <w:b/>
          <w:snapToGrid w:val="0"/>
          <w:szCs w:val="21"/>
          <w:highlight w:val="yellow"/>
        </w:rPr>
        <w:t>（一）本项目所属行业为</w:t>
      </w:r>
      <w:r>
        <w:rPr>
          <w:rFonts w:hint="eastAsia" w:ascii="宋体" w:hAnsi="宋体"/>
          <w:b/>
          <w:snapToGrid w:val="0"/>
          <w:szCs w:val="21"/>
          <w:highlight w:val="yellow"/>
          <w:u w:val="single"/>
        </w:rPr>
        <w:t xml:space="preserve"> 其他未列明行业 </w:t>
      </w:r>
      <w:r>
        <w:rPr>
          <w:rFonts w:hint="eastAsia" w:ascii="宋体" w:hAnsi="宋体"/>
          <w:b/>
          <w:snapToGrid w:val="0"/>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（二）价格评审优惠</w:t>
      </w:r>
    </w:p>
    <w:p>
      <w:pPr>
        <w:spacing w:line="360" w:lineRule="auto"/>
        <w:ind w:firstLine="371" w:firstLineChars="177"/>
        <w:rPr>
          <w:rFonts w:cs="仿宋" w:asciiTheme="minorEastAsia" w:hAnsiTheme="minorEastAsia" w:eastAsiaTheme="minorEastAsia"/>
          <w:szCs w:val="21"/>
        </w:rPr>
      </w:pPr>
      <w:r>
        <w:rPr>
          <w:rFonts w:hint="eastAsia" w:asciiTheme="minorEastAsia" w:hAnsiTheme="minorEastAsia" w:eastAsiaTheme="minorEastAsia"/>
          <w:szCs w:val="21"/>
        </w:rPr>
        <w:t>□</w:t>
      </w:r>
      <w:r>
        <w:rPr>
          <w:rFonts w:hint="eastAsia" w:ascii="Calibri" w:hAnsi="宋体"/>
        </w:rPr>
        <w:t>预留份额专门面向中小企业采购的采购项目或采购包</w:t>
      </w:r>
      <w:r>
        <w:rPr>
          <w:rFonts w:hint="eastAsia" w:cs="仿宋" w:asciiTheme="minorEastAsia" w:hAnsiTheme="minorEastAsia" w:eastAsiaTheme="minorEastAsia"/>
          <w:szCs w:val="21"/>
        </w:rPr>
        <w:t>：不执行价格评审优惠的扶持政策。</w:t>
      </w:r>
    </w:p>
    <w:p>
      <w:pPr>
        <w:widowControl/>
        <w:spacing w:line="360" w:lineRule="auto"/>
        <w:ind w:firstLine="371" w:firstLineChars="177"/>
        <w:jc w:val="left"/>
        <w:rPr>
          <w:rFonts w:cs="仿宋" w:asciiTheme="minorEastAsia" w:hAnsiTheme="minorEastAsia" w:eastAsiaTheme="minorEastAsia"/>
          <w:szCs w:val="21"/>
        </w:rPr>
      </w:pPr>
      <w:r>
        <w:rPr>
          <w:rFonts w:hint="eastAsia" w:ascii="宋体" w:eastAsia="MS Mincho" w:cs="MS Mincho" w:hAnsiTheme="minorEastAsia"/>
          <w:kern w:val="0"/>
          <w:szCs w:val="21"/>
        </w:rPr>
        <w:t>☑</w:t>
      </w:r>
      <w:r>
        <w:rPr>
          <w:rFonts w:hint="eastAsia" w:ascii="Segoe UI Symbol" w:hAnsi="Segoe UI Symbol"/>
        </w:rPr>
        <w:t>未</w:t>
      </w:r>
      <w:r>
        <w:rPr>
          <w:rFonts w:hint="eastAsia" w:ascii="Calibri" w:hAnsi="宋体"/>
        </w:rPr>
        <w:t>预留份额专门面向中小企业采购的采购项目或采购包</w:t>
      </w:r>
      <w:r>
        <w:rPr>
          <w:rFonts w:hint="eastAsia" w:asciiTheme="minorEastAsia" w:hAnsiTheme="minorEastAsia" w:eastAsiaTheme="minorEastAsia"/>
          <w:szCs w:val="21"/>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szCs w:val="22"/>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szCs w:val="22"/>
        </w:rPr>
        <w:t>其投标报价扣除</w:t>
      </w:r>
      <w:r>
        <w:rPr>
          <w:rFonts w:hint="eastAsia" w:asciiTheme="minorEastAsia" w:hAnsiTheme="minorEastAsia" w:eastAsiaTheme="minorEastAsia"/>
          <w:b/>
          <w:szCs w:val="22"/>
          <w:u w:val="single"/>
        </w:rPr>
        <w:t xml:space="preserve"> 10 </w:t>
      </w:r>
      <w:r>
        <w:rPr>
          <w:rFonts w:hint="eastAsia" w:asciiTheme="minorEastAsia" w:hAnsiTheme="minorEastAsia" w:eastAsiaTheme="minorEastAsia"/>
          <w:b/>
          <w:szCs w:val="22"/>
        </w:rPr>
        <w:t>%（请在10%-20%范围内选择）后参与评审</w:t>
      </w:r>
      <w:r>
        <w:rPr>
          <w:rFonts w:hint="eastAsia" w:asciiTheme="minorEastAsia" w:hAnsiTheme="minorEastAsia" w:eastAsiaTheme="minorEastAsia"/>
          <w:szCs w:val="22"/>
        </w:rPr>
        <w:t>。</w:t>
      </w:r>
    </w:p>
    <w:p>
      <w:pPr>
        <w:spacing w:line="360" w:lineRule="auto"/>
        <w:ind w:firstLine="424" w:firstLineChars="202"/>
        <w:rPr>
          <w:rFonts w:asciiTheme="minorEastAsia" w:hAnsiTheme="minorEastAsia" w:eastAsiaTheme="minorEastAsia"/>
          <w:szCs w:val="22"/>
        </w:rPr>
      </w:pPr>
      <w:r>
        <w:rPr>
          <w:rFonts w:hint="eastAsia" w:asciiTheme="minorEastAsia" w:hAnsiTheme="minorEastAsia" w:eastAsiaTheme="minorEastAsia"/>
          <w:szCs w:val="22"/>
        </w:rPr>
        <w:t>（2）联合协议中约定，小型、微型企业的协议合同金额占到联合体协议合同总金额30%以上的，可给予</w:t>
      </w:r>
      <w:r>
        <w:rPr>
          <w:rFonts w:hint="eastAsia" w:asciiTheme="minorEastAsia" w:hAnsiTheme="minorEastAsia" w:eastAsiaTheme="minorEastAsia"/>
          <w:b/>
          <w:szCs w:val="22"/>
        </w:rPr>
        <w:t>联合体</w:t>
      </w:r>
      <w:r>
        <w:rPr>
          <w:rFonts w:hint="eastAsia" w:asciiTheme="minorEastAsia" w:hAnsiTheme="minorEastAsia" w:eastAsiaTheme="minorEastAsia"/>
          <w:b/>
          <w:szCs w:val="22"/>
          <w:u w:val="single"/>
        </w:rPr>
        <w:t xml:space="preserve"> /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r>
        <w:rPr>
          <w:rFonts w:hint="eastAsia" w:asciiTheme="minorEastAsia" w:hAnsiTheme="minorEastAsia" w:eastAsiaTheme="minorEastAsia"/>
          <w:szCs w:val="22"/>
        </w:rPr>
        <w:t>。如联合体各方均为小型、微型企业，联合体视同为小型、微型企业，享受</w:t>
      </w:r>
      <w:r>
        <w:rPr>
          <w:rFonts w:hint="eastAsia" w:asciiTheme="minorEastAsia" w:hAnsiTheme="minorEastAsia" w:eastAsiaTheme="minorEastAsia"/>
          <w:b/>
          <w:szCs w:val="22"/>
        </w:rPr>
        <w:t>第（1）项</w:t>
      </w:r>
      <w:r>
        <w:rPr>
          <w:rFonts w:hint="eastAsia" w:asciiTheme="minorEastAsia" w:hAnsiTheme="minorEastAsia" w:eastAsiaTheme="minorEastAsia"/>
          <w:szCs w:val="22"/>
        </w:rPr>
        <w:t>的评审优惠。</w:t>
      </w:r>
    </w:p>
    <w:p>
      <w:pPr>
        <w:spacing w:after="60" w:line="360" w:lineRule="auto"/>
        <w:ind w:firstLine="424" w:firstLineChars="202"/>
        <w:rPr>
          <w:rFonts w:ascii="宋体" w:hAnsi="宋体"/>
          <w:szCs w:val="22"/>
        </w:rPr>
      </w:pPr>
      <w:r>
        <w:rPr>
          <w:rFonts w:hint="eastAsia" w:ascii="宋体" w:hAnsi="宋体"/>
          <w:szCs w:val="22"/>
        </w:rPr>
        <w:t>（3）分包意向协议约定，小型、微型企业的协议合同金额占到合同总金额30%以上的，可给予投标人</w:t>
      </w:r>
      <w:r>
        <w:rPr>
          <w:rFonts w:hint="eastAsia" w:ascii="宋体" w:hAnsi="宋体"/>
          <w:b/>
          <w:szCs w:val="22"/>
          <w:u w:val="single"/>
        </w:rPr>
        <w:t xml:space="preserve">  </w:t>
      </w:r>
      <w:r>
        <w:rPr>
          <w:rFonts w:hint="eastAsia" w:asciiTheme="minorEastAsia" w:hAnsiTheme="minorEastAsia" w:eastAsiaTheme="minorEastAsia"/>
          <w:b/>
          <w:szCs w:val="22"/>
          <w:u w:val="single"/>
        </w:rPr>
        <w:t xml:space="preserve">/  </w:t>
      </w:r>
      <w:r>
        <w:rPr>
          <w:rFonts w:hint="eastAsia" w:asciiTheme="minorEastAsia" w:hAnsiTheme="minorEastAsia" w:eastAsiaTheme="minorEastAsia"/>
          <w:b/>
          <w:szCs w:val="22"/>
        </w:rPr>
        <w:t>%</w:t>
      </w:r>
      <w:r>
        <w:rPr>
          <w:rFonts w:asciiTheme="minorEastAsia" w:hAnsiTheme="minorEastAsia" w:eastAsiaTheme="minorEastAsia"/>
          <w:b/>
          <w:szCs w:val="22"/>
        </w:rPr>
        <w:t xml:space="preserve"> </w:t>
      </w:r>
      <w:r>
        <w:rPr>
          <w:rFonts w:hint="eastAsia" w:asciiTheme="minorEastAsia" w:hAnsiTheme="minorEastAsia" w:eastAsiaTheme="minorEastAsia"/>
          <w:b/>
          <w:szCs w:val="22"/>
        </w:rPr>
        <w:t>（请在4</w:t>
      </w:r>
      <w:r>
        <w:rPr>
          <w:rFonts w:asciiTheme="minorEastAsia" w:hAnsiTheme="minorEastAsia" w:eastAsiaTheme="minorEastAsia"/>
          <w:b/>
          <w:szCs w:val="22"/>
        </w:rPr>
        <w:t>%-</w:t>
      </w:r>
      <w:r>
        <w:rPr>
          <w:rFonts w:hint="eastAsia" w:asciiTheme="minorEastAsia" w:hAnsiTheme="minorEastAsia" w:eastAsiaTheme="minorEastAsia"/>
          <w:b/>
          <w:szCs w:val="22"/>
        </w:rPr>
        <w:t>6</w:t>
      </w:r>
      <w:r>
        <w:rPr>
          <w:rFonts w:asciiTheme="minorEastAsia" w:hAnsiTheme="minorEastAsia" w:eastAsiaTheme="minorEastAsia"/>
          <w:b/>
          <w:szCs w:val="22"/>
        </w:rPr>
        <w:t>%</w:t>
      </w:r>
      <w:r>
        <w:rPr>
          <w:rFonts w:hint="eastAsia" w:asciiTheme="minorEastAsia" w:hAnsiTheme="minorEastAsia" w:eastAsiaTheme="minorEastAsia"/>
          <w:b/>
          <w:szCs w:val="22"/>
        </w:rPr>
        <w:t>范围内选择）</w:t>
      </w:r>
      <w:r>
        <w:rPr>
          <w:rFonts w:hint="eastAsia" w:asciiTheme="minorEastAsia" w:hAnsiTheme="minorEastAsia" w:eastAsiaTheme="minorEastAsia"/>
          <w:szCs w:val="22"/>
        </w:rPr>
        <w:t>的价格扣除</w:t>
      </w:r>
      <w:r>
        <w:rPr>
          <w:rFonts w:hint="eastAsia" w:ascii="宋体" w:hAnsi="宋体"/>
          <w:szCs w:val="22"/>
        </w:rPr>
        <w:t>，用扣除后的价格参与评审。</w:t>
      </w:r>
    </w:p>
    <w:p>
      <w:pPr>
        <w:spacing w:after="60" w:line="360" w:lineRule="auto"/>
        <w:ind w:firstLine="424" w:firstLineChars="202"/>
        <w:rPr>
          <w:rFonts w:ascii="宋体" w:hAnsi="宋体"/>
          <w:szCs w:val="22"/>
        </w:rPr>
      </w:pPr>
      <w:r>
        <w:rPr>
          <w:rFonts w:hint="eastAsia" w:ascii="宋体" w:hAnsi="宋体"/>
          <w:szCs w:val="22"/>
        </w:rPr>
        <w:t>（4）</w:t>
      </w:r>
      <w:r>
        <w:rPr>
          <w:rFonts w:hint="eastAsia" w:asciiTheme="minorEastAsia" w:hAnsiTheme="minorEastAsia" w:eastAsiaTheme="minorEastAsia"/>
          <w:szCs w:val="22"/>
        </w:rPr>
        <w:t>如供应商为</w:t>
      </w:r>
      <w:r>
        <w:rPr>
          <w:rFonts w:hint="eastAsia" w:ascii="Calibri" w:hAnsi="宋体"/>
          <w:szCs w:val="22"/>
        </w:rPr>
        <w:t>监狱企业</w:t>
      </w:r>
      <w:r>
        <w:rPr>
          <w:rFonts w:hint="eastAsia" w:ascii="Calibri" w:hAnsi="宋体"/>
          <w:szCs w:val="21"/>
        </w:rPr>
        <w:t>或残疾人福利性单位，</w:t>
      </w:r>
      <w:r>
        <w:rPr>
          <w:rFonts w:hint="eastAsia" w:ascii="Calibri" w:hAnsi="宋体"/>
          <w:szCs w:val="22"/>
        </w:rPr>
        <w:t>视同</w:t>
      </w:r>
      <w:r>
        <w:rPr>
          <w:rFonts w:hint="eastAsia" w:asciiTheme="minorEastAsia" w:hAnsiTheme="minorEastAsia" w:eastAsiaTheme="minorEastAsia"/>
          <w:szCs w:val="22"/>
        </w:rPr>
        <w:t>小型、微型企业，</w:t>
      </w:r>
      <w:r>
        <w:rPr>
          <w:rFonts w:hint="eastAsia" w:ascii="Calibri" w:hAnsi="宋体"/>
          <w:szCs w:val="22"/>
        </w:rPr>
        <w:t>享受以上预留份额、评审中价格扣除等政府采购促进中小企业发展的政府采购政策；</w:t>
      </w:r>
      <w:r>
        <w:rPr>
          <w:rFonts w:hint="eastAsia" w:asciiTheme="minorEastAsia" w:hAnsiTheme="minorEastAsia" w:eastAsiaTheme="minorEastAsia"/>
          <w:szCs w:val="22"/>
        </w:rPr>
        <w:t>对于同时属于小型、微型企业、监狱企业或残疾人福利性单位的供应商，不重复享受政策。</w:t>
      </w:r>
    </w:p>
    <w:p>
      <w:pPr>
        <w:spacing w:after="60" w:line="360" w:lineRule="auto"/>
        <w:ind w:firstLine="424" w:firstLineChars="202"/>
        <w:rPr>
          <w:rFonts w:ascii="宋体" w:hAnsi="宋体"/>
          <w:szCs w:val="22"/>
        </w:rPr>
      </w:pPr>
      <w:r>
        <w:rPr>
          <w:rFonts w:hint="eastAsia" w:ascii="宋体" w:hAnsi="宋体"/>
          <w:szCs w:val="22"/>
        </w:rPr>
        <w:t>（5）优惠主体资格的认定资料为《中小企业声明函》、《残疾人福利性单位声明函》以及《监狱企业声明函》等承诺性质的资料；监狱企业或者代理提供监狱企业货物的供应商如需享受优惠政策，除上述资料外，还须提供省级以上监狱管理局、戒毒管理局出具的监狱企业证明文件。</w:t>
      </w:r>
    </w:p>
    <w:p>
      <w:pPr>
        <w:spacing w:line="360" w:lineRule="auto"/>
        <w:ind w:firstLine="422" w:firstLineChars="200"/>
        <w:rPr>
          <w:rFonts w:asciiTheme="minorEastAsia" w:hAnsiTheme="minorEastAsia" w:eastAsiaTheme="minorEastAsia"/>
          <w:b/>
          <w:bCs/>
          <w:szCs w:val="22"/>
        </w:rPr>
      </w:pPr>
      <w:r>
        <w:rPr>
          <w:rFonts w:hint="eastAsia" w:asciiTheme="minorEastAsia" w:hAnsiTheme="minorEastAsia" w:eastAsiaTheme="minorEastAsia"/>
          <w:b/>
          <w:bCs/>
          <w:szCs w:val="22"/>
        </w:rPr>
        <w:t>（三）绿色采购</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（1）投标产品属于《关于调整优化节能产品环境标志产品政府采购执行机制的通知》（财库〔2019〕9号）、《关于印发环境标志产品政府采购品目清单的通知》（财库〔2019〕18号）和《关于印发节能产品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autoSpaceDE w:val="0"/>
        <w:autoSpaceDN w:val="0"/>
        <w:adjustRightInd w:val="0"/>
        <w:spacing w:line="360" w:lineRule="auto"/>
        <w:ind w:firstLine="369" w:firstLineChars="176"/>
        <w:jc w:val="left"/>
        <w:rPr>
          <w:rFonts w:ascii="宋体" w:hAnsi="宋体" w:eastAsia="黑体"/>
          <w:b/>
          <w:bCs/>
          <w:kern w:val="44"/>
          <w:sz w:val="28"/>
          <w:szCs w:val="44"/>
        </w:rPr>
      </w:pPr>
      <w:r>
        <w:rPr>
          <w:rFonts w:hint="eastAsia" w:asciiTheme="minorEastAsia" w:hAnsiTheme="minorEastAsia" w:eastAsiaTheme="minorEastAsia"/>
          <w:szCs w:val="21"/>
        </w:rPr>
        <w:t>（2）按照《深圳市财政局关于大力推广政府绿色采购有关事项的通知（深财购〔2023〕49号）》相关要求，严格执行绿色采购需求标准。采购单位严格执行《商品包装政府采购需求标准（试行）》、《快递包装政府采购需求标准（试行）》（财办库〔2020〕123号）、《绿色建筑和绿色建材政府采购需求标准》（财办库〔2022〕35号）、《绿色数据中心政府采购需求标准（试行）》（财办库〔2023〕7号）等需求标准，依据相关需求标准确定采购需求，在采购文件和采购合同中载明具体需求、履约验收条款和违约责任，促进绿色包装、绿色运输、绿色建筑、绿色建材和绿色数据中心在政府采购领域的应用。加大新能源汽车采购力度。积极推广合同能源管理。鼓励公共机构推广应用合同能源管理，借助市场化手段，通过实施应用节能新技术、新产品，不断提高能源利用效率，为公共机构节能减排提供有力支持和保障。</w:t>
      </w:r>
    </w:p>
    <w:p>
      <w:pPr>
        <w:spacing w:line="360" w:lineRule="auto"/>
        <w:ind w:firstLine="422" w:firstLineChars="200"/>
        <w:rPr>
          <w:rFonts w:ascii="宋体" w:hAnsi="宋体"/>
          <w:b/>
          <w:szCs w:val="21"/>
        </w:rPr>
      </w:pPr>
      <w:r>
        <w:rPr>
          <w:rFonts w:hint="eastAsia" w:asciiTheme="minorEastAsia" w:hAnsiTheme="minorEastAsia" w:eastAsiaTheme="minorEastAsia"/>
          <w:b/>
          <w:szCs w:val="21"/>
        </w:rPr>
        <w:t>（四）</w:t>
      </w:r>
      <w:r>
        <w:rPr>
          <w:rFonts w:hint="eastAsia"/>
          <w:b/>
        </w:rPr>
        <w:t>其他说明</w:t>
      </w:r>
    </w:p>
    <w:p>
      <w:pPr>
        <w:spacing w:line="360" w:lineRule="auto"/>
        <w:ind w:firstLine="420" w:firstLineChars="200"/>
        <w:rPr>
          <w:rFonts w:asciiTheme="minorEastAsia" w:hAnsiTheme="minorEastAsia" w:eastAsiaTheme="minorEastAsia"/>
          <w:szCs w:val="21"/>
        </w:rPr>
      </w:pP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p>
    <w:p>
      <w:pPr>
        <w:spacing w:line="360" w:lineRule="auto"/>
        <w:ind w:firstLine="424" w:firstLineChars="202"/>
      </w:pPr>
    </w:p>
    <w:p>
      <w:pPr>
        <w:spacing w:line="360" w:lineRule="auto"/>
        <w:ind w:firstLine="424" w:firstLineChars="202"/>
      </w:pPr>
    </w:p>
    <w:p>
      <w:pPr>
        <w:widowControl/>
        <w:jc w:val="left"/>
      </w:pPr>
      <w:r>
        <w:br w:type="page"/>
      </w:r>
    </w:p>
    <w:p>
      <w:pPr>
        <w:widowControl/>
        <w:jc w:val="left"/>
      </w:pPr>
    </w:p>
    <w:p>
      <w:pPr>
        <w:pStyle w:val="2"/>
      </w:pPr>
      <w:bookmarkStart w:id="17" w:name="_Toc135293168"/>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项号</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条款号</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内容</w:t>
            </w:r>
          </w:p>
        </w:tc>
        <w:tc>
          <w:tcPr>
            <w:tcW w:w="6520" w:type="dxa"/>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1.1</w:t>
            </w:r>
          </w:p>
        </w:tc>
        <w:tc>
          <w:tcPr>
            <w:tcW w:w="1843" w:type="dxa"/>
            <w:vAlign w:val="center"/>
          </w:tcPr>
          <w:p>
            <w:pPr>
              <w:pStyle w:val="26"/>
              <w:keepNext w:val="0"/>
              <w:keepLines w:val="0"/>
              <w:suppressLineNumbers w:val="0"/>
              <w:spacing w:before="0" w:beforeAutospacing="0" w:after="0" w:afterAutospacing="0" w:line="360" w:lineRule="exact"/>
              <w:ind w:left="0" w:right="0"/>
              <w:jc w:val="center"/>
              <w:rPr>
                <w:rFonts w:hint="default" w:hAnsi="宋体"/>
              </w:rPr>
            </w:pPr>
            <w:r>
              <w:rPr>
                <w:rFonts w:hint="eastAsia" w:hAnsi="宋体"/>
              </w:rPr>
              <w:t>项目名称</w:t>
            </w:r>
          </w:p>
        </w:tc>
        <w:tc>
          <w:tcPr>
            <w:tcW w:w="6520" w:type="dxa"/>
            <w:vAlign w:val="center"/>
          </w:tcPr>
          <w:p>
            <w:pPr>
              <w:pStyle w:val="26"/>
              <w:keepNext w:val="0"/>
              <w:keepLines w:val="0"/>
              <w:suppressLineNumbers w:val="0"/>
              <w:spacing w:before="0" w:beforeAutospacing="0" w:after="0" w:afterAutospacing="0" w:line="360" w:lineRule="exact"/>
              <w:ind w:left="0" w:right="0"/>
              <w:rPr>
                <w:rFonts w:hint="eastAsia" w:eastAsia="宋体"/>
                <w:lang w:eastAsia="zh-CN"/>
              </w:rPr>
            </w:pPr>
            <w:r>
              <w:rPr>
                <w:rFonts w:hint="eastAsia"/>
                <w:lang w:eastAsia="zh-CN"/>
              </w:rPr>
              <w:t>2024深圳市国家基本公共卫生服务项目宣传月活动委托服务</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2</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2.1</w:t>
            </w:r>
          </w:p>
        </w:tc>
        <w:tc>
          <w:tcPr>
            <w:tcW w:w="1843" w:type="dxa"/>
            <w:vAlign w:val="center"/>
          </w:tcPr>
          <w:p>
            <w:pPr>
              <w:pStyle w:val="26"/>
              <w:keepNext w:val="0"/>
              <w:keepLines w:val="0"/>
              <w:suppressLineNumbers w:val="0"/>
              <w:spacing w:before="0" w:beforeAutospacing="0" w:after="0" w:afterAutospacing="0" w:line="360" w:lineRule="exact"/>
              <w:ind w:left="0" w:right="0"/>
              <w:jc w:val="center"/>
              <w:rPr>
                <w:rFonts w:hint="default" w:hAnsi="宋体"/>
              </w:rPr>
            </w:pPr>
            <w:r>
              <w:rPr>
                <w:rFonts w:hint="eastAsia" w:hAnsi="宋体"/>
              </w:rPr>
              <w:t>采购人</w:t>
            </w:r>
          </w:p>
        </w:tc>
        <w:tc>
          <w:tcPr>
            <w:tcW w:w="6520" w:type="dxa"/>
            <w:vAlign w:val="center"/>
          </w:tcPr>
          <w:p>
            <w:pPr>
              <w:pStyle w:val="26"/>
              <w:keepNext w:val="0"/>
              <w:keepLines w:val="0"/>
              <w:suppressLineNumbers w:val="0"/>
              <w:spacing w:before="0" w:beforeAutospacing="0" w:after="0" w:afterAutospacing="0" w:line="360" w:lineRule="exact"/>
              <w:ind w:left="0" w:right="0"/>
              <w:rPr>
                <w:rFonts w:hint="default" w:hAnsi="宋体"/>
                <w:szCs w:val="24"/>
              </w:rPr>
            </w:pPr>
            <w:r>
              <w:rPr>
                <w:rFonts w:hint="eastAsia" w:ascii="宋体" w:hAnsi="宋体" w:eastAsia="宋体"/>
                <w:snapToGrid w:val="0"/>
                <w:color w:val="auto"/>
                <w:sz w:val="21"/>
                <w:szCs w:val="21"/>
              </w:rPr>
              <w:t>深圳市疾病预防控制中心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3</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2.2</w:t>
            </w:r>
          </w:p>
        </w:tc>
        <w:tc>
          <w:tcPr>
            <w:tcW w:w="1843" w:type="dxa"/>
            <w:vAlign w:val="center"/>
          </w:tcPr>
          <w:p>
            <w:pPr>
              <w:pStyle w:val="26"/>
              <w:keepNext w:val="0"/>
              <w:keepLines w:val="0"/>
              <w:suppressLineNumbers w:val="0"/>
              <w:spacing w:before="0" w:beforeAutospacing="0" w:after="0" w:afterAutospacing="0" w:line="360" w:lineRule="exact"/>
              <w:ind w:left="0" w:right="0"/>
              <w:jc w:val="center"/>
              <w:rPr>
                <w:rFonts w:hint="default" w:hAnsi="宋体"/>
              </w:rPr>
            </w:pPr>
            <w:r>
              <w:rPr>
                <w:rFonts w:hint="eastAsia" w:hAnsi="宋体"/>
              </w:rPr>
              <w:t>采购代理机构</w:t>
            </w:r>
          </w:p>
        </w:tc>
        <w:tc>
          <w:tcPr>
            <w:tcW w:w="6520" w:type="dxa"/>
            <w:vAlign w:val="center"/>
          </w:tcPr>
          <w:p>
            <w:pPr>
              <w:pStyle w:val="26"/>
              <w:keepNext w:val="0"/>
              <w:keepLines w:val="0"/>
              <w:suppressLineNumbers w:val="0"/>
              <w:spacing w:before="0" w:beforeAutospacing="0" w:after="0" w:afterAutospacing="0" w:line="360" w:lineRule="exact"/>
              <w:ind w:left="0" w:right="0"/>
              <w:rPr>
                <w:rFonts w:hint="default" w:hAnsi="宋体"/>
              </w:rPr>
            </w:pPr>
            <w:r>
              <w:rPr>
                <w:rFonts w:hint="default"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4</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3.1</w:t>
            </w:r>
          </w:p>
        </w:tc>
        <w:tc>
          <w:tcPr>
            <w:tcW w:w="1843" w:type="dxa"/>
            <w:vAlign w:val="center"/>
          </w:tcPr>
          <w:p>
            <w:pPr>
              <w:pStyle w:val="26"/>
              <w:keepNext w:val="0"/>
              <w:keepLines w:val="0"/>
              <w:suppressLineNumbers w:val="0"/>
              <w:spacing w:before="0" w:beforeAutospacing="0" w:after="0" w:afterAutospacing="0" w:line="360" w:lineRule="exact"/>
              <w:ind w:left="0" w:right="0"/>
              <w:jc w:val="center"/>
              <w:rPr>
                <w:rFonts w:hint="default" w:hAnsi="宋体"/>
              </w:rPr>
            </w:pPr>
            <w:r>
              <w:rPr>
                <w:rFonts w:hint="eastAsia" w:hAnsi="宋体"/>
              </w:rPr>
              <w:t>资金来源</w:t>
            </w:r>
          </w:p>
        </w:tc>
        <w:tc>
          <w:tcPr>
            <w:tcW w:w="6520" w:type="dxa"/>
            <w:vAlign w:val="center"/>
          </w:tcPr>
          <w:p>
            <w:pPr>
              <w:pStyle w:val="26"/>
              <w:keepNext w:val="0"/>
              <w:keepLines w:val="0"/>
              <w:suppressLineNumbers w:val="0"/>
              <w:spacing w:before="0" w:beforeAutospacing="0" w:after="0" w:afterAutospacing="0" w:line="360" w:lineRule="exact"/>
              <w:ind w:left="0" w:right="0"/>
              <w:rPr>
                <w:rFonts w:hint="default"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5</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4.7</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投标人资格要求</w:t>
            </w:r>
          </w:p>
        </w:tc>
        <w:tc>
          <w:tcPr>
            <w:tcW w:w="6520" w:type="dxa"/>
            <w:vAlign w:val="center"/>
          </w:tcPr>
          <w:p>
            <w:pPr>
              <w:pStyle w:val="26"/>
              <w:keepNext w:val="0"/>
              <w:keepLines w:val="0"/>
              <w:suppressLineNumbers w:val="0"/>
              <w:spacing w:before="0" w:beforeAutospacing="0" w:after="0" w:afterAutospacing="0" w:line="300" w:lineRule="auto"/>
              <w:ind w:left="0" w:right="0"/>
              <w:rPr>
                <w:rFonts w:hint="default" w:hAnsi="宋体"/>
                <w:szCs w:val="21"/>
              </w:rPr>
            </w:pPr>
            <w:r>
              <w:rPr>
                <w:rFonts w:hint="eastAsia" w:hAnsi="宋体"/>
                <w:szCs w:val="21"/>
              </w:rPr>
              <w:t>详见《第一章 投标邀请》“申请人的资格要求”</w:t>
            </w:r>
            <w:r>
              <w:rPr>
                <w:rFonts w:hint="default" w:hAnsi="宋体"/>
                <w:szCs w:val="21"/>
              </w:rPr>
              <w:t xml:space="preserve"> </w:t>
            </w:r>
          </w:p>
          <w:p>
            <w:pPr>
              <w:pStyle w:val="26"/>
              <w:keepNext w:val="0"/>
              <w:keepLines w:val="0"/>
              <w:suppressLineNumbers w:val="0"/>
              <w:spacing w:before="0" w:beforeAutospacing="0" w:after="0" w:afterAutospacing="0" w:line="360" w:lineRule="auto"/>
              <w:ind w:left="0" w:right="0"/>
              <w:rPr>
                <w:rFonts w:hint="default"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6</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4.8</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联合体投标</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7</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6.1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踏勘现场</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不统一组织</w:t>
            </w:r>
            <w:r>
              <w:rPr>
                <w:rFonts w:hint="eastAsia"/>
                <w:snapToGrid w:val="0"/>
              </w:rPr>
              <w:t>，由各投标人自行查看现场。</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8</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r>
              <w:rPr>
                <w:rFonts w:hint="eastAsia" w:hAnsi="宋体"/>
              </w:rPr>
              <w:t>4</w:t>
            </w:r>
            <w:r>
              <w:rPr>
                <w:rFonts w:hint="default" w:hAnsi="宋体"/>
              </w:rPr>
              <w:t>.1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投标有效期</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90</w:t>
            </w:r>
            <w:r>
              <w:rPr>
                <w:rFonts w:hint="default"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9</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r>
              <w:rPr>
                <w:rFonts w:hint="eastAsia" w:hAnsi="宋体"/>
              </w:rPr>
              <w:t>5</w:t>
            </w:r>
            <w:r>
              <w:rPr>
                <w:rFonts w:hint="default" w:hAnsi="宋体"/>
              </w:rPr>
              <w:t>.</w:t>
            </w:r>
            <w:r>
              <w:rPr>
                <w:rFonts w:hint="eastAsia" w:hAnsi="宋体"/>
              </w:rPr>
              <w:t>2</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投标保证金</w:t>
            </w:r>
          </w:p>
        </w:tc>
        <w:tc>
          <w:tcPr>
            <w:tcW w:w="6520" w:type="dxa"/>
            <w:vAlign w:val="center"/>
          </w:tcPr>
          <w:p>
            <w:pPr>
              <w:keepNext w:val="0"/>
              <w:keepLines w:val="0"/>
              <w:suppressLineNumbers w:val="0"/>
              <w:tabs>
                <w:tab w:val="left" w:pos="915"/>
              </w:tabs>
              <w:spacing w:before="0" w:beforeAutospacing="0" w:after="0" w:afterAutospacing="0" w:line="360" w:lineRule="exact"/>
              <w:ind w:left="0" w:right="0"/>
              <w:rPr>
                <w:rFonts w:hint="default"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10</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16.1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投标预备会</w:t>
            </w:r>
          </w:p>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（答疑会）</w:t>
            </w:r>
          </w:p>
        </w:tc>
        <w:tc>
          <w:tcPr>
            <w:tcW w:w="6520" w:type="dxa"/>
            <w:vAlign w:val="center"/>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11</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r>
              <w:rPr>
                <w:rFonts w:hint="eastAsia" w:hAnsi="宋体"/>
              </w:rPr>
              <w:t>7</w:t>
            </w:r>
            <w:r>
              <w:rPr>
                <w:rFonts w:hint="default" w:hAnsi="宋体"/>
              </w:rPr>
              <w:t>.1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投标文件份数</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default" w:asciiTheme="minorEastAsia" w:hAnsiTheme="minorEastAsia" w:eastAsiaTheme="minorEastAsia"/>
              </w:rPr>
              <w:t xml:space="preserve">正本1份，副本 </w:t>
            </w:r>
            <w:r>
              <w:rPr>
                <w:rFonts w:hint="eastAsia" w:asciiTheme="minorEastAsia" w:hAnsiTheme="minorEastAsia" w:eastAsiaTheme="minorEastAsia"/>
              </w:rPr>
              <w:t>5</w:t>
            </w:r>
            <w:r>
              <w:rPr>
                <w:rFonts w:hint="default" w:asciiTheme="minorEastAsia" w:hAnsiTheme="minorEastAsia" w:eastAsiaTheme="minorEastAsia"/>
              </w:rPr>
              <w:t xml:space="preserve"> 份，</w:t>
            </w:r>
            <w:r>
              <w:rPr>
                <w:rFonts w:hint="eastAsia" w:asciiTheme="minorEastAsia" w:hAnsiTheme="minorEastAsia" w:eastAsiaTheme="minorEastAsia"/>
              </w:rPr>
              <w:t>电子</w:t>
            </w:r>
            <w:r>
              <w:rPr>
                <w:rFonts w:hint="default" w:asciiTheme="minorEastAsia" w:hAnsiTheme="minorEastAsia" w:eastAsiaTheme="minorEastAsia"/>
              </w:rPr>
              <w:t>备份光盘（或U盘）1份</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投标文件必须标注页码并装订成册</w:t>
            </w:r>
            <w:r>
              <w:rPr>
                <w:rFonts w:hint="eastAsia" w:asciiTheme="minorEastAsia" w:hAnsiTheme="minorEastAsia" w:eastAsiaTheme="minorEastAsia"/>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12</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r>
              <w:rPr>
                <w:rFonts w:hint="eastAsia" w:hAnsi="宋体"/>
              </w:rPr>
              <w:t>8</w:t>
            </w:r>
            <w:r>
              <w:rPr>
                <w:rFonts w:hint="default" w:hAnsi="宋体"/>
              </w:rPr>
              <w:t>.</w:t>
            </w:r>
            <w:r>
              <w:rPr>
                <w:rFonts w:hint="eastAsia" w:hAnsi="宋体"/>
              </w:rPr>
              <w:t>8</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开标</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13</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default" w:hAnsi="宋体"/>
              </w:rPr>
              <w:t>1</w:t>
            </w:r>
            <w:r>
              <w:rPr>
                <w:rFonts w:hint="eastAsia" w:hAnsi="宋体"/>
              </w:rPr>
              <w:t>9</w:t>
            </w:r>
            <w:r>
              <w:rPr>
                <w:rFonts w:hint="default" w:hAnsi="宋体"/>
              </w:rPr>
              <w:t>.</w:t>
            </w:r>
            <w:r>
              <w:rPr>
                <w:rFonts w:hint="eastAsia" w:hAnsi="宋体"/>
              </w:rPr>
              <w:t>2</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投标截止时间</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b/>
              </w:rPr>
            </w:pPr>
            <w:r>
              <w:rPr>
                <w:rFonts w:hint="eastAsia" w:hAnsi="宋体"/>
                <w:szCs w:val="21"/>
              </w:rPr>
              <w:t>详见《第一章 投标邀请》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14</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26</w:t>
            </w:r>
            <w:r>
              <w:rPr>
                <w:rFonts w:hint="default" w:hAnsi="宋体"/>
              </w:rPr>
              <w:t>.</w:t>
            </w:r>
            <w:r>
              <w:rPr>
                <w:rFonts w:hint="eastAsia" w:hAnsi="宋体"/>
              </w:rPr>
              <w:t>3</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评标办法</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15</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33</w:t>
            </w:r>
            <w:r>
              <w:rPr>
                <w:rFonts w:hint="default" w:hAnsi="宋体"/>
              </w:rPr>
              <w:t>.1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snapToGrid w:val="0"/>
                <w:kern w:val="0"/>
              </w:rPr>
            </w:pPr>
            <w:r>
              <w:rPr>
                <w:rFonts w:hint="eastAsia"/>
                <w:snapToGrid w:val="0"/>
                <w:kern w:val="0"/>
              </w:rPr>
              <w:t>履约保证金</w:t>
            </w:r>
          </w:p>
        </w:tc>
        <w:tc>
          <w:tcPr>
            <w:tcW w:w="6520" w:type="dxa"/>
          </w:tcPr>
          <w:p>
            <w:pPr>
              <w:pStyle w:val="26"/>
              <w:keepNext w:val="0"/>
              <w:keepLines w:val="0"/>
              <w:suppressLineNumbers w:val="0"/>
              <w:spacing w:before="0" w:beforeAutospacing="0" w:after="0" w:afterAutospacing="0" w:line="360" w:lineRule="auto"/>
              <w:ind w:left="0" w:right="0"/>
              <w:rPr>
                <w:rFonts w:hint="default"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16</w:t>
            </w:r>
          </w:p>
        </w:tc>
        <w:tc>
          <w:tcPr>
            <w:tcW w:w="1038"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34</w:t>
            </w:r>
            <w:r>
              <w:rPr>
                <w:rFonts w:hint="default" w:hAnsi="宋体"/>
              </w:rPr>
              <w:t>.</w:t>
            </w:r>
            <w:r>
              <w:rPr>
                <w:rFonts w:hint="eastAsia" w:hAnsi="宋体"/>
              </w:rPr>
              <w:t>1</w:t>
            </w:r>
          </w:p>
        </w:tc>
        <w:tc>
          <w:tcPr>
            <w:tcW w:w="1843" w:type="dxa"/>
            <w:vAlign w:val="center"/>
          </w:tcPr>
          <w:p>
            <w:pPr>
              <w:pStyle w:val="26"/>
              <w:keepNext w:val="0"/>
              <w:keepLines w:val="0"/>
              <w:suppressLineNumbers w:val="0"/>
              <w:spacing w:before="0" w:beforeAutospacing="0" w:after="0" w:afterAutospacing="0" w:line="360" w:lineRule="auto"/>
              <w:ind w:left="0" w:right="0"/>
              <w:jc w:val="center"/>
              <w:rPr>
                <w:rFonts w:hint="default" w:hAnsi="宋体"/>
              </w:rPr>
            </w:pPr>
            <w:r>
              <w:rPr>
                <w:rFonts w:hint="eastAsia" w:hAnsi="宋体"/>
              </w:rPr>
              <w:t>中标服务费</w:t>
            </w:r>
          </w:p>
        </w:tc>
        <w:tc>
          <w:tcPr>
            <w:tcW w:w="6520" w:type="dxa"/>
          </w:tcPr>
          <w:p>
            <w:pPr>
              <w:pStyle w:val="26"/>
              <w:keepNext w:val="0"/>
              <w:keepLines w:val="0"/>
              <w:suppressLineNumbers w:val="0"/>
              <w:spacing w:before="0" w:beforeAutospacing="0" w:after="0" w:afterAutospacing="0" w:line="360" w:lineRule="auto"/>
              <w:ind w:left="0" w:right="0"/>
              <w:rPr>
                <w:rFonts w:hint="default" w:asciiTheme="minorEastAsia" w:hAnsiTheme="minorEastAsia" w:eastAsiaTheme="minorEastAsia"/>
                <w:szCs w:val="21"/>
              </w:rPr>
            </w:pPr>
            <w:r>
              <w:rPr>
                <w:rFonts w:hint="eastAsia" w:asciiTheme="minorEastAsia" w:hAnsiTheme="minorEastAsia" w:eastAsiaTheme="minorEastAsia"/>
                <w:szCs w:val="21"/>
              </w:rPr>
              <w:t>按深财购[2018]27号文件规定的代理费用参考标准，向中标供应商收取中标服务费，具体如下：</w:t>
            </w:r>
          </w:p>
          <w:p>
            <w:pPr>
              <w:pStyle w:val="26"/>
              <w:keepNext w:val="0"/>
              <w:keepLines w:val="0"/>
              <w:suppressLineNumbers w:val="0"/>
              <w:spacing w:before="0" w:beforeAutospacing="0" w:after="0" w:afterAutospacing="0" w:line="360" w:lineRule="auto"/>
              <w:ind w:left="0" w:right="0"/>
              <w:rPr>
                <w:rFonts w:hint="default" w:asciiTheme="minorEastAsia" w:hAnsiTheme="minorEastAsia" w:eastAsiaTheme="minorEastAsia"/>
              </w:rPr>
            </w:pPr>
            <w:r>
              <w:rPr>
                <w:rFonts w:hint="eastAsia" w:hAnsi="宋体" w:eastAsia="MS Mincho" w:cs="MS Mincho"/>
                <w:sz w:val="24"/>
                <w:szCs w:val="24"/>
              </w:rPr>
              <w:t>☑</w:t>
            </w:r>
            <w:r>
              <w:rPr>
                <w:rFonts w:hint="eastAsia" w:asciiTheme="minorEastAsia" w:hAnsiTheme="minorEastAsia" w:eastAsiaTheme="minorEastAsia"/>
                <w:szCs w:val="21"/>
              </w:rPr>
              <w:t>以中标金额作为计算依据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%，最低收取人民币7000元。</w:t>
            </w:r>
          </w:p>
          <w:p>
            <w:pPr>
              <w:pStyle w:val="26"/>
              <w:keepNext w:val="0"/>
              <w:keepLines w:val="0"/>
              <w:suppressLineNumbers w:val="0"/>
              <w:spacing w:before="0" w:beforeAutospacing="0" w:after="0" w:afterAutospacing="0" w:line="360" w:lineRule="auto"/>
              <w:ind w:left="0" w:right="0"/>
              <w:rPr>
                <w:rFonts w:hint="default" w:hAnsi="宋体"/>
              </w:rPr>
            </w:pPr>
            <w:r>
              <w:rPr>
                <w:rFonts w:hint="eastAsia" w:hAnsi="宋体"/>
              </w:rPr>
              <w:t>□</w:t>
            </w:r>
            <w:r>
              <w:rPr>
                <w:rFonts w:hint="eastAsia" w:asciiTheme="minorEastAsia" w:hAnsiTheme="minorEastAsia" w:eastAsiaTheme="minorEastAsia"/>
                <w:szCs w:val="21"/>
              </w:rPr>
              <w:t>以预算金额（支付上限）作为计算依据</w:t>
            </w:r>
            <w:r>
              <w:rPr>
                <w:rFonts w:hint="eastAsia" w:asciiTheme="minorEastAsia" w:hAnsiTheme="minorEastAsia" w:eastAsiaTheme="minorEastAsia"/>
              </w:rPr>
              <w:t>，费用下浮</w:t>
            </w:r>
            <w:r>
              <w:rPr>
                <w:rFonts w:hint="eastAsia" w:asciiTheme="minorEastAsia" w:hAnsiTheme="minorEastAsia" w:eastAsiaTheme="minorEastAsia"/>
                <w:u w:val="single"/>
              </w:rPr>
              <w:t xml:space="preserve">  0  </w:t>
            </w:r>
            <w:r>
              <w:rPr>
                <w:rFonts w:hint="eastAsia" w:asciiTheme="minorEastAsia" w:hAnsiTheme="minorEastAsia" w:eastAsiaTheme="minorEastAsia"/>
              </w:rPr>
              <w:t>%，收取中标服务费：人民币</w:t>
            </w:r>
            <w:r>
              <w:rPr>
                <w:rFonts w:hint="eastAsia" w:asciiTheme="minorEastAsia" w:hAnsiTheme="minorEastAsia" w:eastAsiaTheme="minorEastAsia"/>
                <w:u w:val="single"/>
              </w:rPr>
              <w:t xml:space="preserve">        </w:t>
            </w:r>
            <w:r>
              <w:rPr>
                <w:rFonts w:hint="eastAsia" w:asciiTheme="minorEastAsia" w:hAnsiTheme="minorEastAsia" w:eastAsiaTheme="minorEastAsia"/>
              </w:rPr>
              <w:t>元。</w:t>
            </w:r>
          </w:p>
        </w:tc>
      </w:tr>
    </w:tbl>
    <w:p>
      <w:pPr>
        <w:rPr>
          <w:szCs w:val="21"/>
        </w:rPr>
      </w:pPr>
    </w:p>
    <w:p/>
    <w:p/>
    <w:p/>
    <w:p/>
    <w:p/>
    <w:p/>
    <w:p/>
    <w:p/>
    <w:p/>
    <w:p/>
    <w:p/>
    <w:p/>
    <w:p/>
    <w:p/>
    <w:p/>
    <w:p/>
    <w:p/>
    <w:p/>
    <w:p/>
    <w:p/>
    <w:p/>
    <w:p/>
    <w:p/>
    <w:p/>
    <w:p/>
    <w:p/>
    <w:p/>
    <w:p/>
    <w:p/>
    <w:p/>
    <w:p/>
    <w:p/>
    <w:p/>
    <w:p/>
    <w:p/>
    <w:p/>
    <w:p/>
    <w:p/>
    <w:p/>
    <w:p/>
    <w:p/>
    <w:p>
      <w:pPr>
        <w:pStyle w:val="2"/>
      </w:pPr>
      <w:bookmarkStart w:id="18" w:name="_Toc135293169"/>
      <w:r>
        <w:rPr>
          <w:rFonts w:hint="eastAsia"/>
        </w:rPr>
        <w:t>第六章  投标人须知</w:t>
      </w:r>
      <w:bookmarkEnd w:id="18"/>
    </w:p>
    <w:p>
      <w:pPr>
        <w:pStyle w:val="4"/>
        <w:spacing w:before="0" w:after="0"/>
      </w:pPr>
      <w:bookmarkStart w:id="19" w:name="_Toc135293170"/>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本项目按前附表第7项的规定安排现场踏勘，以便投标人获取须自己负责的有关编制投标文件和签署合同所需的所有资料。踏勘现场所发生的费用由投标人自己承担。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35293171"/>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35293172"/>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（5）法定代表人（负责人）证明书及授权委托书（投标文件格式2）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（12）招标文件要求的其他资料或投标人认为需要补充的资料（投标文件格式10）</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为了便于投标文件保存，需提交一份投标文件备份光盘（或U盘，内容为投标文件正本盖章扫描件）。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17.6  投标文件必须标注页码并装订成册。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17.7  投标文件不符合上述规定的，为无效投标。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35293173"/>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投标人应将“法定代表人（负责人）证明书、法定代表人（负责人）授权委托书”和“开标一览表”单独密封于一信封，在递交投标文件时单独交予</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35293174"/>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22.2.3  投标人未参加开标的，视同认可开标结果。投标人不足3家的，不得开标。</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招标机构就投标文件中的资格证明等内容对投标供应商进行资格性审查，审查不合格的，认定其投标无效。合格投标人不足3家的，不得评标。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zCs w:val="21"/>
        </w:rPr>
        <w:t>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24.8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snapToGrid w:val="0"/>
          <w:kern w:val="0"/>
        </w:rPr>
      </w:pPr>
      <w:r>
        <w:rPr>
          <w:rFonts w:hint="eastAsia" w:asciiTheme="minorEastAsia" w:hAnsiTheme="minorEastAsia" w:eastAsiaTheme="minorEastAsia"/>
          <w:snapToGrid w:val="0"/>
          <w:kern w:val="0"/>
        </w:rPr>
        <w:t xml:space="preserve">24.9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24.10 经</w:t>
      </w:r>
      <w:r>
        <w:rPr>
          <w:rFonts w:hint="eastAsia"/>
          <w:snapToGrid w:val="0"/>
          <w:kern w:val="0"/>
        </w:rPr>
        <w:t>评标委员会审查，</w:t>
      </w:r>
      <w:r>
        <w:rPr>
          <w:rFonts w:hint="eastAsia" w:ascii="宋体" w:hAnsi="宋体" w:cs="仿宋_GB2312"/>
          <w:kern w:val="0"/>
          <w:szCs w:val="21"/>
        </w:rPr>
        <w:t>有效投标的供应商不足三家的，按公开招标失败处理。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评标方法和标准”所述进行详细评审，并推荐候选中标供应商。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35293175"/>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keepNext w:val="0"/>
              <w:keepLines w:val="0"/>
              <w:suppressLineNumbers w:val="0"/>
              <w:spacing w:before="0" w:beforeAutospacing="0" w:after="0" w:afterAutospacing="0"/>
              <w:ind w:left="0" w:right="0" w:firstLine="1219" w:firstLineChars="578"/>
              <w:rPr>
                <w:rFonts w:hint="default" w:ascii="宋体" w:hAnsi="宋体"/>
                <w:b/>
                <w:szCs w:val="21"/>
              </w:rPr>
            </w:pPr>
            <w:r>
              <w:rPr>
                <w:rFonts w:hint="default"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9525" b="1016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hint="default"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3970" b="1587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hint="default"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4445" r="0" b="508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keepNext w:val="0"/>
              <w:keepLines w:val="0"/>
              <w:suppressLineNumbers w:val="0"/>
              <w:spacing w:before="0" w:beforeAutospacing="0" w:after="0" w:afterAutospacing="0"/>
              <w:ind w:left="0" w:right="0" w:firstLine="392" w:firstLineChars="186"/>
              <w:rPr>
                <w:rFonts w:hint="default" w:ascii="宋体" w:hAnsi="宋体"/>
                <w:b/>
                <w:szCs w:val="21"/>
              </w:rPr>
            </w:pPr>
            <w:r>
              <w:rPr>
                <w:rFonts w:hint="eastAsia" w:ascii="宋体" w:hAnsi="宋体"/>
                <w:b/>
                <w:szCs w:val="21"/>
              </w:rPr>
              <w:t>费率　　　　　</w:t>
            </w:r>
          </w:p>
          <w:p>
            <w:pPr>
              <w:keepNext w:val="0"/>
              <w:keepLines w:val="0"/>
              <w:suppressLineNumbers w:val="0"/>
              <w:spacing w:before="0" w:beforeAutospacing="0" w:after="0" w:afterAutospacing="0"/>
              <w:ind w:left="0" w:right="0" w:firstLine="1054"/>
              <w:rPr>
                <w:rFonts w:hint="default" w:ascii="宋体" w:hAnsi="宋体"/>
                <w:b/>
                <w:szCs w:val="21"/>
              </w:rPr>
            </w:pPr>
            <w:r>
              <w:rPr>
                <w:rFonts w:hint="eastAsia" w:ascii="宋体" w:hAnsi="宋体"/>
                <w:b/>
                <w:szCs w:val="21"/>
              </w:rPr>
              <w:t>　　　</w:t>
            </w:r>
          </w:p>
          <w:p>
            <w:pPr>
              <w:keepNext w:val="0"/>
              <w:keepLines w:val="0"/>
              <w:suppressLineNumbers w:val="0"/>
              <w:spacing w:before="0" w:beforeAutospacing="0" w:after="0" w:afterAutospacing="0"/>
              <w:ind w:left="0" w:right="0"/>
              <w:rPr>
                <w:rFonts w:hint="default" w:ascii="宋体" w:hAnsi="宋体"/>
                <w:b/>
                <w:szCs w:val="21"/>
              </w:rPr>
            </w:pPr>
            <w:r>
              <w:rPr>
                <w:rFonts w:hint="eastAsia" w:ascii="宋体" w:hAnsi="宋体"/>
                <w:b/>
                <w:szCs w:val="21"/>
              </w:rPr>
              <w:t>中标金额</w:t>
            </w:r>
          </w:p>
        </w:tc>
        <w:tc>
          <w:tcPr>
            <w:tcW w:w="2056" w:type="dxa"/>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eastAsia" w:ascii="宋体" w:hAnsi="宋体"/>
                <w:b/>
                <w:szCs w:val="21"/>
              </w:rPr>
              <w:t>货物采购</w:t>
            </w:r>
          </w:p>
        </w:tc>
        <w:tc>
          <w:tcPr>
            <w:tcW w:w="2056" w:type="dxa"/>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eastAsia" w:ascii="宋体" w:hAnsi="宋体"/>
                <w:b/>
                <w:szCs w:val="21"/>
              </w:rPr>
              <w:t>服务采购</w:t>
            </w:r>
          </w:p>
        </w:tc>
        <w:tc>
          <w:tcPr>
            <w:tcW w:w="2057" w:type="dxa"/>
            <w:vAlign w:val="center"/>
          </w:tcPr>
          <w:p>
            <w:pPr>
              <w:keepNext w:val="0"/>
              <w:keepLines w:val="0"/>
              <w:suppressLineNumbers w:val="0"/>
              <w:spacing w:before="0" w:beforeAutospacing="0" w:after="0" w:afterAutospacing="0"/>
              <w:ind w:left="0" w:right="0"/>
              <w:jc w:val="center"/>
              <w:rPr>
                <w:rFonts w:hint="default"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100万元以下</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1.500%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1.500%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100万元（含）-500万元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1.100%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0.800%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500万元（含）-1000万元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0.800%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0.450%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1000万元（含）-5000万元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0.500%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0.250%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5000万元（含）-1亿元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0.250%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0.100%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1亿元（含）-5亿元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0.050%</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0.050%</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5亿元（含）-10亿元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0.035%</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0.035%</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10亿元（含）-50亿元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0.008%</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0.008%</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50亿元（含）-100亿元</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0.006%</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0.006%</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100亿元（含）以上</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0.004%</w:t>
            </w:r>
          </w:p>
        </w:tc>
        <w:tc>
          <w:tcPr>
            <w:tcW w:w="2056" w:type="dxa"/>
            <w:vAlign w:val="center"/>
          </w:tcPr>
          <w:p>
            <w:pPr>
              <w:keepNext w:val="0"/>
              <w:keepLines w:val="0"/>
              <w:widowControl/>
              <w:suppressLineNumbers w:val="0"/>
              <w:spacing w:before="0" w:beforeAutospacing="0" w:after="0" w:afterAutospacing="0"/>
              <w:ind w:left="0" w:right="0"/>
              <w:jc w:val="center"/>
              <w:rPr>
                <w:rFonts w:hint="default" w:ascii="宋体" w:hAnsi="宋体"/>
                <w:kern w:val="0"/>
                <w:szCs w:val="21"/>
              </w:rPr>
            </w:pPr>
            <w:r>
              <w:rPr>
                <w:rFonts w:hint="eastAsia" w:ascii="宋体" w:hAnsi="宋体"/>
                <w:kern w:val="0"/>
                <w:szCs w:val="21"/>
              </w:rPr>
              <w:t>0.004%</w:t>
            </w:r>
          </w:p>
        </w:tc>
        <w:tc>
          <w:tcPr>
            <w:tcW w:w="2057" w:type="dxa"/>
            <w:vAlign w:val="center"/>
          </w:tcPr>
          <w:p>
            <w:pPr>
              <w:keepNext w:val="0"/>
              <w:keepLines w:val="0"/>
              <w:widowControl/>
              <w:suppressLineNumbers w:val="0"/>
              <w:snapToGrid w:val="0"/>
              <w:spacing w:before="0" w:beforeAutospacing="0" w:after="0" w:afterAutospacing="0"/>
              <w:ind w:left="0" w:right="0"/>
              <w:jc w:val="center"/>
              <w:rPr>
                <w:rFonts w:hint="default"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4"/>
        <w:spacing w:before="0" w:after="0"/>
      </w:pPr>
      <w:bookmarkStart w:id="31" w:name="_Toc135293176"/>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
    <w:p/>
    <w:p/>
    <w:p>
      <w:pPr>
        <w:pStyle w:val="2"/>
      </w:pPr>
      <w:bookmarkStart w:id="34" w:name="_Toc135293177"/>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44690704"/>
      <w:bookmarkStart w:id="36" w:name="_Toc25194"/>
      <w:bookmarkStart w:id="37" w:name="_Toc44691395"/>
      <w:bookmarkStart w:id="38" w:name="_Toc44690431"/>
      <w:bookmarkStart w:id="39" w:name="_Toc14934"/>
      <w:bookmarkStart w:id="40" w:name="_Toc44691163"/>
      <w:bookmarkStart w:id="41" w:name="_Toc135293178"/>
      <w:bookmarkStart w:id="42" w:name="_Toc31468"/>
      <w:bookmarkStart w:id="43" w:name="_Toc11772"/>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59"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详见第六章“投标人须知”第17-18条</w:t>
            </w:r>
          </w:p>
        </w:tc>
        <w:tc>
          <w:tcPr>
            <w:tcW w:w="4161" w:type="dxa"/>
            <w:vAlign w:val="center"/>
          </w:tcPr>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注：</w:t>
            </w:r>
            <w:r>
              <w:rPr>
                <w:rFonts w:hint="eastAsia" w:asciiTheme="minorEastAsia" w:hAnsiTheme="minorEastAsia" w:eastAsiaTheme="minorEastAsia"/>
                <w:snapToGrid w:val="0"/>
                <w:kern w:val="0"/>
              </w:rPr>
              <w:t>投标文件必须标注页码并装订成册。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keepNext w:val="0"/>
              <w:keepLines w:val="0"/>
              <w:suppressLineNumbers w:val="0"/>
              <w:spacing w:before="0" w:beforeAutospacing="0" w:after="0" w:afterAutospacing="0" w:line="360" w:lineRule="auto"/>
              <w:ind w:left="0" w:right="0"/>
              <w:jc w:val="center"/>
              <w:rPr>
                <w:rFonts w:hint="default"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keepNext w:val="0"/>
              <w:keepLines w:val="0"/>
              <w:suppressLineNumbers w:val="0"/>
              <w:spacing w:before="0" w:beforeAutospacing="0" w:after="0" w:afterAutospacing="0" w:line="360" w:lineRule="auto"/>
              <w:ind w:left="0" w:right="0"/>
              <w:jc w:val="left"/>
              <w:rPr>
                <w:rFonts w:hint="default"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3.2 投标文件应加盖骑缝章。</w:t>
            </w:r>
          </w:p>
          <w:p>
            <w:pPr>
              <w:keepNext w:val="0"/>
              <w:keepLines w:val="0"/>
              <w:suppressLineNumbers w:val="0"/>
              <w:spacing w:before="0" w:beforeAutospacing="0" w:after="0" w:afterAutospacing="0" w:line="360" w:lineRule="auto"/>
              <w:ind w:left="0" w:right="0" w:firstLine="4" w:firstLineChars="2"/>
              <w:rPr>
                <w:rFonts w:hint="default" w:asciiTheme="minorEastAsia" w:hAnsiTheme="minorEastAsia" w:eastAsiaTheme="minorEastAsia"/>
              </w:rPr>
            </w:pPr>
            <w:r>
              <w:rPr>
                <w:rFonts w:hint="eastAsia" w:asciiTheme="minorEastAsia" w:hAnsiTheme="minorEastAsia" w:eastAsiaTheme="minorEastAsia"/>
              </w:rPr>
              <w:t>3.3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spacing w:line="400" w:lineRule="exact"/>
        <w:rPr>
          <w:rFonts w:ascii="仿宋" w:hAnsi="仿宋" w:eastAsia="仿宋"/>
        </w:rPr>
      </w:pPr>
      <w:bookmarkStart w:id="44" w:name="_投标文件格式（第一册）"/>
      <w:bookmarkEnd w:id="44"/>
      <w:bookmarkStart w:id="45" w:name="q0"/>
    </w:p>
    <w:p>
      <w:pPr>
        <w:spacing w:line="400" w:lineRule="exact"/>
        <w:rPr>
          <w:rFonts w:ascii="仿宋" w:hAnsi="仿宋" w:eastAsia="仿宋"/>
        </w:rPr>
      </w:pPr>
    </w:p>
    <w:p>
      <w:pPr>
        <w:spacing w:line="400" w:lineRule="exact"/>
        <w:rPr>
          <w:rFonts w:ascii="仿宋" w:hAnsi="仿宋" w:eastAsia="仿宋"/>
        </w:rPr>
      </w:pPr>
    </w:p>
    <w:p>
      <w:pPr>
        <w:pStyle w:val="4"/>
        <w:spacing w:line="400" w:lineRule="exact"/>
        <w:rPr>
          <w:rFonts w:ascii="仿宋" w:hAnsi="仿宋" w:eastAsia="仿宋"/>
        </w:rPr>
      </w:pPr>
      <w:bookmarkStart w:id="46" w:name="_Toc135293179"/>
      <w:r>
        <w:rPr>
          <w:rFonts w:hint="eastAsia" w:ascii="仿宋" w:hAnsi="仿宋" w:eastAsia="仿宋"/>
        </w:rPr>
        <w:t>投标文件格式</w:t>
      </w:r>
      <w:bookmarkEnd w:id="46"/>
    </w:p>
    <w:bookmarkEnd w:id="45"/>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政府采购违法行为风险知悉确认书</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注：此表应与“法定代表人（负责人）证明书、法定代表人（负责人）授权委托书”一起密封于一信封，在递交投标文件时单独交予</w:t>
      </w:r>
      <w:r>
        <w:rPr>
          <w:rFonts w:hint="eastAsia" w:asciiTheme="minorEastAsia" w:hAnsiTheme="minorEastAsia" w:eastAsiaTheme="minorEastAsia"/>
          <w:b/>
          <w:bCs/>
          <w:snapToGrid w:val="0"/>
          <w:kern w:val="0"/>
          <w:szCs w:val="21"/>
        </w:rPr>
        <w:t>采购代理机构。</w:t>
      </w:r>
    </w:p>
    <w:p>
      <w:pPr>
        <w:numPr>
          <w:ilvl w:val="0"/>
          <w:numId w:val="4"/>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4"/>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adjustRightInd w:val="0"/>
        <w:snapToGrid w:val="0"/>
        <w:spacing w:line="300" w:lineRule="auto"/>
        <w:jc w:val="center"/>
      </w:pPr>
    </w:p>
    <w:p>
      <w:pPr>
        <w:pStyle w:val="4"/>
        <w:spacing w:line="400" w:lineRule="exact"/>
        <w:rPr>
          <w:rFonts w:ascii="仿宋" w:hAnsi="仿宋" w:eastAsia="仿宋"/>
        </w:rPr>
      </w:pPr>
      <w:bookmarkStart w:id="48" w:name="_Toc135293180"/>
      <w:bookmarkStart w:id="49" w:name="_Toc73613640"/>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szCs w:val="21"/>
        </w:rPr>
      </w:pPr>
    </w:p>
    <w:p/>
    <w:p/>
    <w:p/>
    <w:p/>
    <w:p/>
    <w:p/>
    <w:p/>
    <w:p/>
    <w:p/>
    <w:p/>
    <w:p/>
    <w:p/>
    <w:p>
      <w:pPr>
        <w:pStyle w:val="4"/>
        <w:spacing w:line="400" w:lineRule="exact"/>
        <w:rPr>
          <w:rFonts w:ascii="仿宋" w:hAnsi="仿宋" w:eastAsia="仿宋"/>
        </w:rPr>
      </w:pPr>
      <w:bookmarkStart w:id="50" w:name="_Toc135293181"/>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b/>
                <w:szCs w:val="21"/>
              </w:rPr>
            </w:pPr>
            <w:r>
              <w:rPr>
                <w:rFonts w:hint="eastAsia" w:asciiTheme="minorEastAsia" w:hAnsiTheme="minorEastAsia" w:eastAsiaTheme="minorEastAsia"/>
                <w:b/>
                <w:szCs w:val="21"/>
              </w:rPr>
              <w:t>一、综合评分指引（评分内容见第四章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评分类别</w:t>
            </w:r>
          </w:p>
        </w:tc>
        <w:tc>
          <w:tcPr>
            <w:tcW w:w="4854" w:type="dxa"/>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证明文件起止页码</w:t>
            </w: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05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价格部分</w:t>
            </w:r>
          </w:p>
        </w:tc>
        <w:tc>
          <w:tcPr>
            <w:tcW w:w="4854" w:type="dxa"/>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技术部分</w:t>
            </w: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1.……</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2.……</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商务部分</w:t>
            </w: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1.……</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2.……</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keepNext w:val="0"/>
              <w:keepLines w:val="0"/>
              <w:suppressLineNumbers w:val="0"/>
              <w:spacing w:before="0" w:beforeAutospacing="0" w:after="0" w:afterAutospacing="0" w:line="360" w:lineRule="exact"/>
              <w:ind w:left="0" w:right="0"/>
              <w:jc w:val="center"/>
              <w:rPr>
                <w:rFonts w:hint="default" w:ascii="宋体" w:hAnsi="宋体"/>
                <w:szCs w:val="21"/>
              </w:rPr>
            </w:pPr>
          </w:p>
        </w:tc>
        <w:tc>
          <w:tcPr>
            <w:tcW w:w="4854" w:type="dxa"/>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keepNext w:val="0"/>
              <w:keepLines w:val="0"/>
              <w:suppressLineNumbers w:val="0"/>
              <w:spacing w:before="0" w:beforeAutospacing="0" w:after="0" w:afterAutospacing="0" w:line="360" w:lineRule="exact"/>
              <w:ind w:left="0" w:right="0"/>
              <w:jc w:val="center"/>
              <w:rPr>
                <w:rFonts w:hint="default" w:asciiTheme="minorEastAsia" w:hAnsiTheme="minorEastAsia" w:eastAsiaTheme="minorEastAsia"/>
                <w:b/>
                <w:szCs w:val="21"/>
              </w:rPr>
            </w:pPr>
            <w:r>
              <w:rPr>
                <w:rFonts w:hint="eastAsia" w:asciiTheme="minorEastAsia" w:hAnsiTheme="minorEastAsia" w:eastAsiaTheme="minorEastAsia"/>
                <w:b/>
                <w:szCs w:val="21"/>
              </w:rPr>
              <w:t>二、其他评标指引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szCs w:val="21"/>
              </w:rPr>
            </w:pPr>
            <w:r>
              <w:rPr>
                <w:rFonts w:hint="eastAsia" w:ascii="宋体" w:hAnsi="宋体"/>
                <w:szCs w:val="21"/>
              </w:rPr>
              <w:t>其他资料</w:t>
            </w:r>
          </w:p>
        </w:tc>
        <w:tc>
          <w:tcPr>
            <w:tcW w:w="4854" w:type="dxa"/>
            <w:vAlign w:val="center"/>
          </w:tcPr>
          <w:p>
            <w:pPr>
              <w:keepNext w:val="0"/>
              <w:keepLines w:val="0"/>
              <w:suppressLineNumbers w:val="0"/>
              <w:spacing w:before="0" w:beforeAutospacing="0" w:after="0" w:afterAutospacing="0"/>
              <w:ind w:left="0" w:right="0"/>
              <w:rPr>
                <w:rFonts w:hint="default" w:asciiTheme="minorEastAsia" w:hAnsiTheme="minorEastAsia" w:eastAsiaTheme="minorEastAsia"/>
              </w:rPr>
            </w:pPr>
            <w:r>
              <w:rPr>
                <w:rFonts w:hint="eastAsia" w:asciiTheme="minorEastAsia" w:hAnsiTheme="minorEastAsia" w:eastAsiaTheme="minorEastAsia"/>
                <w:color w:val="FF0000"/>
                <w:kern w:val="0"/>
                <w:szCs w:val="21"/>
              </w:rPr>
              <w:t>投标单位法定代表人、主要经营负责人、项目投标授权代表人、项目负责人及主要技术人员近一年社保缴纳查询记录（包含在投标单位及其他缴纳社保单位的记录）；社保缴纳不满一年的按实际缴纳情况提供。</w:t>
            </w:r>
          </w:p>
        </w:tc>
        <w:tc>
          <w:tcPr>
            <w:tcW w:w="2169"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c>
          <w:tcPr>
            <w:tcW w:w="1472" w:type="dxa"/>
            <w:vAlign w:val="center"/>
          </w:tcPr>
          <w:p>
            <w:pPr>
              <w:keepNext w:val="0"/>
              <w:keepLines w:val="0"/>
              <w:suppressLineNumbers w:val="0"/>
              <w:spacing w:before="0" w:beforeAutospacing="0" w:after="0" w:afterAutospacing="0" w:line="360" w:lineRule="exact"/>
              <w:ind w:left="0" w:right="0"/>
              <w:jc w:val="center"/>
              <w:rPr>
                <w:rFonts w:hint="default" w:ascii="宋体" w:hAnsi="宋体"/>
                <w:b/>
                <w:szCs w:val="21"/>
              </w:rPr>
            </w:pPr>
          </w:p>
        </w:tc>
      </w:tr>
    </w:tbl>
    <w:p>
      <w:pPr>
        <w:spacing w:line="360" w:lineRule="exact"/>
        <w:rPr>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jc w:val="center"/>
      </w:pPr>
    </w:p>
    <w:p/>
    <w:p/>
    <w:p/>
    <w:p/>
    <w:p/>
    <w:p/>
    <w:p/>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1" w:name="_Toc44690705"/>
      <w:bookmarkStart w:id="52" w:name="_Toc44691396"/>
      <w:bookmarkStart w:id="53" w:name="_Toc44690432"/>
      <w:bookmarkStart w:id="54" w:name="_Toc44691164"/>
      <w:bookmarkStart w:id="55" w:name="_Toc135293182"/>
      <w:r>
        <w:rPr>
          <w:rFonts w:hint="eastAsia" w:asciiTheme="minorEastAsia" w:hAnsiTheme="minorEastAsia" w:eastAsiaTheme="minorEastAsia"/>
        </w:rPr>
        <w:t>格式1  投标人资格证明文件</w:t>
      </w:r>
      <w:bookmarkEnd w:id="51"/>
      <w:bookmarkEnd w:id="52"/>
      <w:bookmarkEnd w:id="53"/>
      <w:bookmarkEnd w:id="54"/>
      <w:bookmarkEnd w:id="55"/>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1.我单位满足《中华人民共和国政府采购法》第二十二条规定的下列条件：</w:t>
      </w:r>
    </w:p>
    <w:p>
      <w:pPr>
        <w:spacing w:line="400" w:lineRule="exact"/>
        <w:ind w:firstLine="420" w:firstLineChars="200"/>
        <w:rPr>
          <w:rFonts w:ascii="宋体" w:hAnsi="宋体"/>
          <w:szCs w:val="21"/>
        </w:rPr>
      </w:pPr>
      <w:r>
        <w:rPr>
          <w:rFonts w:hint="eastAsia" w:ascii="宋体" w:hAnsi="宋体"/>
          <w:szCs w:val="21"/>
        </w:rPr>
        <w:t>（一）具有独立承担民事责任的能力；</w:t>
      </w:r>
    </w:p>
    <w:p>
      <w:pPr>
        <w:spacing w:line="400" w:lineRule="exact"/>
        <w:ind w:firstLine="420" w:firstLineChars="200"/>
        <w:rPr>
          <w:rFonts w:ascii="宋体" w:hAnsi="宋体"/>
          <w:szCs w:val="21"/>
        </w:rPr>
      </w:pPr>
      <w:r>
        <w:rPr>
          <w:rFonts w:hint="eastAsia" w:ascii="宋体" w:hAnsi="宋体"/>
          <w:szCs w:val="21"/>
        </w:rPr>
        <w:t>（二）具有良好的商业信誉和健全的财务会计制度；</w:t>
      </w:r>
    </w:p>
    <w:p>
      <w:pPr>
        <w:spacing w:line="400" w:lineRule="exact"/>
        <w:ind w:firstLine="420" w:firstLineChars="200"/>
        <w:rPr>
          <w:rFonts w:ascii="宋体" w:hAnsi="宋体"/>
          <w:szCs w:val="21"/>
        </w:rPr>
      </w:pPr>
      <w:r>
        <w:rPr>
          <w:rFonts w:hint="eastAsia" w:ascii="宋体" w:hAnsi="宋体"/>
          <w:szCs w:val="21"/>
        </w:rPr>
        <w:t>（三）具有履行合同所必需的设备和专业技术能力；</w:t>
      </w:r>
    </w:p>
    <w:p>
      <w:pPr>
        <w:spacing w:line="400" w:lineRule="exact"/>
        <w:ind w:firstLine="420" w:firstLineChars="200"/>
        <w:rPr>
          <w:rFonts w:ascii="宋体" w:hAnsi="宋体"/>
          <w:szCs w:val="21"/>
        </w:rPr>
      </w:pPr>
      <w:r>
        <w:rPr>
          <w:rFonts w:hint="eastAsia" w:ascii="宋体" w:hAnsi="宋体"/>
          <w:szCs w:val="21"/>
        </w:rPr>
        <w:t>（四）有依法缴纳税收和社会保障资金的良好记录；</w:t>
      </w:r>
    </w:p>
    <w:p>
      <w:pPr>
        <w:spacing w:line="400" w:lineRule="exact"/>
        <w:ind w:firstLine="420" w:firstLineChars="200"/>
        <w:rPr>
          <w:rFonts w:ascii="宋体" w:hAnsi="宋体"/>
          <w:szCs w:val="21"/>
        </w:rPr>
      </w:pPr>
      <w:r>
        <w:rPr>
          <w:rFonts w:hint="eastAsia" w:ascii="宋体" w:hAnsi="宋体"/>
          <w:szCs w:val="21"/>
        </w:rPr>
        <w:t>（五）参加政府采购活动前三年内，在经营活动中没有重大违法记录；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（六）法律、行政法规规定的其他条件。</w:t>
      </w:r>
    </w:p>
    <w:p>
      <w:pPr>
        <w:spacing w:line="400" w:lineRule="exact"/>
        <w:ind w:firstLine="420" w:firstLineChars="200"/>
        <w:rPr>
          <w:rFonts w:ascii="宋体" w:hAnsi="宋体"/>
          <w:szCs w:val="21"/>
        </w:rPr>
      </w:pPr>
      <w:r>
        <w:rPr>
          <w:rFonts w:hint="eastAsia" w:ascii="宋体" w:hAnsi="宋体"/>
          <w:szCs w:val="21"/>
        </w:rPr>
        <w:t>2.我单位参与本项目采购活动前三年内，在经营活动中没有重大违法记录，包括</w:t>
      </w:r>
      <w:r>
        <w:rPr>
          <w:szCs w:val="21"/>
        </w:rPr>
        <w:t>因违法经营受到刑事处罚或者责令停产停业、吊销许可证或者执照、较大数额罚款等行政处罚</w:t>
      </w:r>
      <w:r>
        <w:rPr>
          <w:rFonts w:hint="eastAsia" w:ascii="宋体" w:hAnsi="宋体"/>
          <w:szCs w:val="21"/>
        </w:rPr>
        <w:t>。</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4.我单位承诺非</w:t>
      </w:r>
      <w:r>
        <w:rPr>
          <w:rFonts w:hint="eastAsia" w:asciiTheme="minorEastAsia" w:hAnsiTheme="minorEastAsia" w:eastAsiaTheme="minorEastAsia"/>
          <w:snapToGrid w:val="0"/>
        </w:rPr>
        <w:t>联合体投标，</w:t>
      </w:r>
      <w:r>
        <w:rPr>
          <w:rFonts w:hint="eastAsia" w:ascii="宋体" w:hAnsi="宋体"/>
          <w:szCs w:val="21"/>
        </w:rPr>
        <w:t>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 我单位参与该项目投标，严格遵循公平竞争的原则，不妨碍其他投标人的竞争行为，不损害采购人或者其他投标人的合法权益，与其他采购参加人不存在下列串通投标情形：</w:t>
      </w:r>
    </w:p>
    <w:p>
      <w:pPr>
        <w:spacing w:line="400" w:lineRule="exact"/>
        <w:ind w:firstLine="420" w:firstLineChars="200"/>
        <w:rPr>
          <w:rFonts w:ascii="宋体" w:hAnsi="宋体"/>
          <w:szCs w:val="21"/>
        </w:rPr>
      </w:pPr>
      <w:r>
        <w:rPr>
          <w:rFonts w:hint="eastAsia" w:ascii="宋体" w:hAnsi="宋体"/>
          <w:szCs w:val="21"/>
        </w:rPr>
        <w:t>（1）投标供应商之间相互约定给予未中标的供应商利益补偿；</w:t>
      </w:r>
    </w:p>
    <w:p>
      <w:pPr>
        <w:spacing w:line="400" w:lineRule="exact"/>
        <w:ind w:firstLine="420" w:firstLineChars="200"/>
        <w:rPr>
          <w:rFonts w:ascii="宋体" w:hAnsi="宋体"/>
          <w:szCs w:val="21"/>
        </w:rPr>
      </w:pPr>
      <w:r>
        <w:rPr>
          <w:rFonts w:hint="eastAsia" w:ascii="宋体" w:hAnsi="宋体"/>
          <w:szCs w:val="21"/>
        </w:rPr>
        <w:t>（2）不同投标供应商的法定代表人、主要经营负责人、项目投标授权代表人、项目负责人、主要技术人员为同一人、属同一单位或者在同一单位缴纳社会保险；</w:t>
      </w:r>
    </w:p>
    <w:p>
      <w:pPr>
        <w:spacing w:line="400" w:lineRule="exact"/>
        <w:ind w:firstLine="420" w:firstLineChars="200"/>
        <w:rPr>
          <w:rFonts w:ascii="宋体" w:hAnsi="宋体"/>
          <w:szCs w:val="21"/>
        </w:rPr>
      </w:pPr>
      <w:r>
        <w:rPr>
          <w:rFonts w:hint="eastAsia" w:ascii="宋体" w:hAnsi="宋体"/>
          <w:szCs w:val="21"/>
        </w:rPr>
        <w:t>（3）不同投标供应商的投标文件由同一单位或者同一人编制，或者由同一人分阶段参与编制的；</w:t>
      </w:r>
    </w:p>
    <w:p>
      <w:pPr>
        <w:spacing w:line="400" w:lineRule="exact"/>
        <w:ind w:firstLine="420" w:firstLineChars="200"/>
        <w:rPr>
          <w:rFonts w:ascii="宋体" w:hAnsi="宋体"/>
          <w:szCs w:val="21"/>
        </w:rPr>
      </w:pPr>
      <w:r>
        <w:rPr>
          <w:rFonts w:hint="eastAsia" w:ascii="宋体" w:hAnsi="宋体"/>
          <w:szCs w:val="21"/>
        </w:rPr>
        <w:t>（4）不同投标供应商的投标文件或部分投标文件相互混装；</w:t>
      </w:r>
    </w:p>
    <w:p>
      <w:pPr>
        <w:spacing w:line="400" w:lineRule="exact"/>
        <w:ind w:firstLine="420" w:firstLineChars="200"/>
        <w:rPr>
          <w:rFonts w:ascii="宋体" w:hAnsi="宋体"/>
          <w:szCs w:val="21"/>
        </w:rPr>
      </w:pPr>
      <w:r>
        <w:rPr>
          <w:rFonts w:hint="eastAsia" w:ascii="宋体" w:hAnsi="宋体"/>
          <w:szCs w:val="21"/>
        </w:rPr>
        <w:t>（5）不同投标供应商的投标文件内容存在非正常一致；</w:t>
      </w:r>
    </w:p>
    <w:p>
      <w:pPr>
        <w:spacing w:line="400" w:lineRule="exact"/>
        <w:ind w:firstLine="420" w:firstLineChars="200"/>
        <w:rPr>
          <w:rFonts w:ascii="宋体" w:hAnsi="宋体"/>
          <w:szCs w:val="21"/>
        </w:rPr>
      </w:pPr>
      <w:r>
        <w:rPr>
          <w:rFonts w:hint="eastAsia" w:ascii="宋体" w:hAnsi="宋体"/>
          <w:szCs w:val="21"/>
        </w:rPr>
        <w:t>（6）由同一单位工作人员为两家以上（含两家）供应商进行同一项投标活动的；</w:t>
      </w:r>
    </w:p>
    <w:p>
      <w:pPr>
        <w:spacing w:line="400" w:lineRule="exact"/>
        <w:ind w:firstLine="420" w:firstLineChars="200"/>
        <w:rPr>
          <w:rFonts w:ascii="宋体" w:hAnsi="宋体"/>
          <w:szCs w:val="21"/>
        </w:rPr>
      </w:pPr>
      <w:r>
        <w:rPr>
          <w:rFonts w:hint="eastAsia" w:ascii="宋体" w:hAnsi="宋体"/>
          <w:szCs w:val="21"/>
        </w:rPr>
        <w:t>（7）主管部门依照法律、法规认定的其他情形。</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right"/>
      </w:pPr>
    </w:p>
    <w:p>
      <w:pPr>
        <w:pStyle w:val="3"/>
        <w:tabs>
          <w:tab w:val="left" w:pos="371"/>
        </w:tabs>
        <w:spacing w:before="120" w:after="120"/>
        <w:ind w:left="-1" w:leftChars="-1" w:hanging="1"/>
        <w:jc w:val="center"/>
        <w:rPr>
          <w:rFonts w:asciiTheme="minorEastAsia" w:hAnsiTheme="minorEastAsia" w:eastAsiaTheme="minorEastAsia"/>
          <w:snapToGrid w:val="0"/>
          <w:kern w:val="0"/>
        </w:rPr>
      </w:pPr>
      <w:bookmarkStart w:id="56" w:name="_Toc135293183"/>
      <w:r>
        <w:rPr>
          <w:rFonts w:hint="eastAsia" w:asciiTheme="minorEastAsia" w:hAnsiTheme="minorEastAsia" w:eastAsiaTheme="minorEastAsia"/>
        </w:rPr>
        <w:t>格式2  法定代表人（负责人）证明书及授权委托书</w:t>
      </w:r>
      <w:bookmarkEnd w:id="56"/>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8415" b="1016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 xml:space="preserve"> 法定代表人</w:t>
                      </w:r>
                      <w:r>
                        <w:rPr>
                          <w:rFonts w:hint="eastAsia" w:ascii="宋体" w:hAnsi="宋体"/>
                        </w:rPr>
                        <w:t>（负责人）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8415" b="1016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w:t>
                      </w:r>
                      <w:r>
                        <w:rPr>
                          <w:rFonts w:hint="eastAsia" w:ascii="宋体" w:hAnsi="宋体"/>
                        </w:rPr>
                        <w:t>（负责人）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ind w:firstLine="2249" w:firstLineChars="800"/>
        <w:rPr>
          <w:b/>
          <w:bCs/>
          <w:sz w:val="28"/>
        </w:rPr>
      </w:pPr>
    </w:p>
    <w:p>
      <w:pPr>
        <w:ind w:firstLine="2249" w:firstLineChars="800"/>
        <w:rPr>
          <w:b/>
          <w:bCs/>
          <w:sz w:val="28"/>
        </w:rPr>
      </w:pPr>
    </w:p>
    <w:p>
      <w:pPr>
        <w:ind w:firstLine="2249" w:firstLineChars="800"/>
        <w:rPr>
          <w:b/>
          <w:bCs/>
          <w:sz w:val="28"/>
        </w:rPr>
      </w:pPr>
    </w:p>
    <w:p>
      <w:pPr>
        <w:jc w:val="center"/>
        <w:rPr>
          <w:b/>
          <w:bCs/>
          <w:sz w:val="28"/>
        </w:rPr>
      </w:pPr>
      <w:r>
        <w:rPr>
          <w:rFonts w:hint="eastAsia"/>
          <w:b/>
          <w:bCs/>
          <w:sz w:val="28"/>
        </w:rPr>
        <w:t>法定代表人（负责人）授权委托书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7"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8415" b="1016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8415" b="1016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7"/>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
      <w:pPr>
        <w:tabs>
          <w:tab w:val="left" w:pos="720"/>
        </w:tabs>
        <w:adjustRightInd w:val="0"/>
        <w:snapToGrid w:val="0"/>
        <w:spacing w:line="300" w:lineRule="auto"/>
      </w:pPr>
    </w:p>
    <w:p>
      <w:pPr>
        <w:tabs>
          <w:tab w:val="left" w:pos="720"/>
        </w:tabs>
        <w:adjustRightInd w:val="0"/>
        <w:snapToGrid w:val="0"/>
        <w:spacing w:line="300" w:lineRule="auto"/>
        <w:rPr>
          <w:b/>
          <w:snapToGrid w:val="0"/>
          <w:kern w:val="0"/>
          <w:sz w:val="28"/>
        </w:rPr>
      </w:pPr>
    </w:p>
    <w:p>
      <w:pPr>
        <w:pStyle w:val="3"/>
        <w:tabs>
          <w:tab w:val="left" w:pos="371"/>
        </w:tabs>
        <w:spacing w:before="120" w:after="120"/>
        <w:ind w:left="-1" w:leftChars="-1" w:hanging="1"/>
        <w:jc w:val="center"/>
        <w:rPr>
          <w:rFonts w:asciiTheme="minorEastAsia" w:hAnsiTheme="minorEastAsia" w:eastAsiaTheme="minorEastAsia"/>
        </w:rPr>
      </w:pPr>
      <w:bookmarkStart w:id="58" w:name="_Toc135293184"/>
      <w:r>
        <w:rPr>
          <w:rFonts w:hint="eastAsia" w:asciiTheme="minorEastAsia" w:hAnsiTheme="minorEastAsia" w:eastAsiaTheme="minorEastAsia"/>
        </w:rPr>
        <w:t>格式3  投</w:t>
      </w:r>
      <w:r>
        <w:rPr>
          <w:rFonts w:asciiTheme="minorEastAsia" w:hAnsiTheme="minorEastAsia" w:eastAsiaTheme="minorEastAsia"/>
        </w:rPr>
        <w:t xml:space="preserve"> </w:t>
      </w:r>
      <w:r>
        <w:rPr>
          <w:rFonts w:hint="eastAsia" w:asciiTheme="minorEastAsia" w:hAnsiTheme="minorEastAsia" w:eastAsiaTheme="minorEastAsia"/>
        </w:rPr>
        <w:t>标</w:t>
      </w:r>
      <w:r>
        <w:rPr>
          <w:rFonts w:asciiTheme="minorEastAsia" w:hAnsiTheme="minorEastAsia" w:eastAsiaTheme="minorEastAsia"/>
        </w:rPr>
        <w:t xml:space="preserve"> </w:t>
      </w:r>
      <w:r>
        <w:rPr>
          <w:rFonts w:hint="eastAsia" w:asciiTheme="minorEastAsia" w:hAnsiTheme="minorEastAsia" w:eastAsiaTheme="minorEastAsia"/>
        </w:rPr>
        <w:t>函</w:t>
      </w:r>
      <w:bookmarkEnd w:id="58"/>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p>
    <w:p>
      <w:pPr>
        <w:tabs>
          <w:tab w:val="left" w:pos="371"/>
        </w:tabs>
        <w:spacing w:before="120" w:after="120"/>
        <w:ind w:left="-1" w:leftChars="-1" w:hanging="1"/>
        <w:jc w:val="center"/>
        <w:rPr>
          <w:rFonts w:asciiTheme="minorEastAsia" w:hAnsiTheme="minorEastAsia" w:eastAsiaTheme="minorEastAsia"/>
          <w:sz w:val="24"/>
        </w:rPr>
      </w:pPr>
    </w:p>
    <w:p>
      <w:pPr>
        <w:pStyle w:val="3"/>
        <w:tabs>
          <w:tab w:val="left" w:pos="371"/>
        </w:tabs>
        <w:spacing w:before="120" w:after="120"/>
        <w:ind w:left="-1" w:leftChars="-1" w:hanging="1"/>
        <w:jc w:val="center"/>
        <w:rPr>
          <w:rFonts w:asciiTheme="minorEastAsia" w:hAnsiTheme="minorEastAsia" w:eastAsiaTheme="minorEastAsia"/>
        </w:rPr>
      </w:pPr>
      <w:bookmarkStart w:id="59" w:name="_Toc135293185"/>
      <w:r>
        <w:rPr>
          <w:rFonts w:hint="eastAsia" w:asciiTheme="minorEastAsia" w:hAnsiTheme="minorEastAsia" w:eastAsiaTheme="minorEastAsia"/>
        </w:rPr>
        <w:t>格式4  评分中涉及的承诺及声明函</w:t>
      </w:r>
      <w:bookmarkEnd w:id="59"/>
    </w:p>
    <w:p>
      <w:pPr>
        <w:widowControl/>
        <w:snapToGrid w:val="0"/>
        <w:spacing w:line="360" w:lineRule="auto"/>
        <w:jc w:val="left"/>
        <w:rPr>
          <w:rFonts w:ascii="仿宋" w:hAnsi="仿宋" w:eastAsia="仿宋"/>
          <w:b/>
          <w:bCs/>
          <w:color w:val="FF0000"/>
          <w:kern w:val="0"/>
          <w:sz w:val="25"/>
          <w:szCs w:val="25"/>
        </w:rPr>
      </w:pPr>
    </w:p>
    <w:p>
      <w:pPr>
        <w:widowControl/>
        <w:snapToGrid w:val="0"/>
        <w:spacing w:line="360" w:lineRule="auto"/>
        <w:jc w:val="left"/>
        <w:outlineLvl w:val="3"/>
        <w:rPr>
          <w:rFonts w:ascii="仿宋" w:hAnsi="仿宋" w:eastAsia="仿宋"/>
          <w:b/>
          <w:bCs/>
          <w:kern w:val="0"/>
          <w:sz w:val="25"/>
          <w:szCs w:val="25"/>
        </w:rPr>
      </w:pPr>
      <w:r>
        <w:rPr>
          <w:rFonts w:hint="eastAsia" w:ascii="仿宋" w:hAnsi="仿宋" w:eastAsia="仿宋"/>
          <w:b/>
          <w:bCs/>
          <w:kern w:val="0"/>
          <w:sz w:val="25"/>
          <w:szCs w:val="25"/>
        </w:rPr>
        <w:t>填写指引：</w:t>
      </w:r>
    </w:p>
    <w:p>
      <w:pPr>
        <w:widowControl/>
        <w:snapToGrid w:val="0"/>
        <w:spacing w:line="360" w:lineRule="auto"/>
        <w:jc w:val="left"/>
        <w:rPr>
          <w:rFonts w:asciiTheme="minorEastAsia" w:hAnsiTheme="minorEastAsia" w:eastAsiaTheme="minorEastAsia"/>
          <w:kern w:val="0"/>
          <w:szCs w:val="21"/>
        </w:rPr>
      </w:pPr>
      <w:r>
        <w:rPr>
          <w:rFonts w:hint="eastAsia" w:ascii="仿宋" w:hAnsi="仿宋" w:eastAsia="仿宋"/>
          <w:kern w:val="0"/>
          <w:sz w:val="25"/>
          <w:szCs w:val="25"/>
        </w:rPr>
        <w:t xml:space="preserve">  </w:t>
      </w:r>
      <w:r>
        <w:rPr>
          <w:rFonts w:hint="eastAsia" w:asciiTheme="minorEastAsia" w:hAnsiTheme="minorEastAsia" w:eastAsiaTheme="minorEastAsia"/>
          <w:kern w:val="0"/>
          <w:szCs w:val="21"/>
        </w:rPr>
        <w:t xml:space="preserve">  1、该部分内容由投标人根据自身实际情况填写，投标人提供的声明函不属实的，属于提供虚假资料谋取中标，依照《中华人民共和国政府采购法》等国家有关规定追究相应责任。</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2、该部分内容填写需要参考的相关文件包括但不限于（具体内容详见附件）：</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1</w:t>
      </w:r>
      <w:r>
        <w:rPr>
          <w:rFonts w:hint="eastAsia" w:asciiTheme="minorEastAsia" w:hAnsiTheme="minorEastAsia" w:eastAsiaTheme="minorEastAsia"/>
          <w:kern w:val="0"/>
          <w:szCs w:val="21"/>
        </w:rPr>
        <w:t>)</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工业和信息化部关于印发《政府采购促进中小企业发展管理办法》的通知（财库〔2020〕46号）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w:t>
      </w:r>
      <w:r>
        <w:rPr>
          <w:rFonts w:asciiTheme="minorEastAsia" w:hAnsiTheme="minorEastAsia" w:eastAsiaTheme="minorEastAsia"/>
          <w:kern w:val="0"/>
          <w:szCs w:val="21"/>
        </w:rPr>
        <w:t>2</w:t>
      </w:r>
      <w:r>
        <w:rPr>
          <w:rFonts w:hint="eastAsia" w:asciiTheme="minorEastAsia" w:hAnsiTheme="minorEastAsia" w:eastAsiaTheme="minorEastAsia"/>
          <w:kern w:val="0"/>
          <w:szCs w:val="21"/>
        </w:rPr>
        <w:t>)</w:t>
      </w:r>
      <w:bookmarkStart w:id="60" w:name="_Hlk71925120"/>
      <w:r>
        <w:rPr>
          <w:rFonts w:hint="eastAsia" w:asciiTheme="minorEastAsia" w:hAnsiTheme="minorEastAsia" w:eastAsiaTheme="minorEastAsia"/>
          <w:kern w:val="0"/>
          <w:szCs w:val="21"/>
        </w:rPr>
        <w:t>《关于印发中小企业划型标准规定的通知》（工信部联企业〔2011〕300 号</w:t>
      </w:r>
      <w:bookmarkEnd w:id="60"/>
      <w:r>
        <w:rPr>
          <w:rFonts w:hint="eastAsia" w:asciiTheme="minorEastAsia" w:hAnsiTheme="minorEastAsia" w:eastAsiaTheme="minorEastAsia"/>
          <w:kern w:val="0"/>
          <w:szCs w:val="21"/>
        </w:rPr>
        <w:t>）</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(3)</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国家统计局关于印发《统计上大中小微型企业划分办法 （2017）》的通知（国统字〔2017〕213 号）</w:t>
      </w:r>
    </w:p>
    <w:p>
      <w:pPr>
        <w:widowControl/>
        <w:snapToGrid w:val="0"/>
        <w:spacing w:line="360" w:lineRule="auto"/>
        <w:ind w:firstLine="555"/>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(4)</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民政部 中国残疾人联合会关于促进残疾人就业 政府采购政策的通知（财库〔2017〕141号）</w:t>
      </w:r>
    </w:p>
    <w:p>
      <w:pPr>
        <w:widowControl/>
        <w:snapToGrid w:val="0"/>
        <w:spacing w:line="360" w:lineRule="auto"/>
        <w:ind w:firstLine="555"/>
        <w:jc w:val="left"/>
        <w:rPr>
          <w:rFonts w:asciiTheme="minorEastAsia" w:hAnsiTheme="minorEastAsia" w:eastAsiaTheme="minorEastAsia"/>
          <w:szCs w:val="21"/>
        </w:rPr>
      </w:pPr>
      <w:r>
        <w:rPr>
          <w:rFonts w:hint="eastAsia" w:asciiTheme="minorEastAsia" w:hAnsiTheme="minorEastAsia" w:eastAsiaTheme="minorEastAsia"/>
          <w:kern w:val="0"/>
          <w:szCs w:val="21"/>
        </w:rPr>
        <w:t>(5)</w:t>
      </w:r>
      <w:r>
        <w:rPr>
          <w:rFonts w:hint="eastAsia" w:asciiTheme="minorEastAsia" w:hAnsiTheme="minorEastAsia" w:eastAsiaTheme="minorEastAsia"/>
          <w:szCs w:val="21"/>
        </w:rPr>
        <w:t xml:space="preserve"> </w:t>
      </w:r>
      <w:r>
        <w:rPr>
          <w:rFonts w:hint="eastAsia" w:asciiTheme="minorEastAsia" w:hAnsiTheme="minorEastAsia" w:eastAsiaTheme="minorEastAsia"/>
          <w:kern w:val="0"/>
          <w:szCs w:val="21"/>
        </w:rPr>
        <w:t>财政部 司法部关于政府采购支持监狱企业发展有关问题的通知（财库〔2014〕68号）</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3、请依照招标文件提供的格式和内容填写声明函，不要随意变更格式；满足多项优惠政策的投标人，不重复享受多项价格扣除政策。不符合要求的供应商可以不填写。</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4、《中小企业声明函》填写要求：</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（1）在“单位名称”下划线处如实填写</w:t>
      </w:r>
      <w:r>
        <w:rPr>
          <w:rFonts w:hint="eastAsia" w:asciiTheme="minorEastAsia" w:hAnsiTheme="minorEastAsia" w:eastAsiaTheme="minorEastAsia"/>
          <w:b/>
          <w:color w:val="FF0000"/>
          <w:kern w:val="0"/>
          <w:szCs w:val="21"/>
        </w:rPr>
        <w:t>采购人名称（详见采购人信息，非采购代理机构）</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（2）在“项目名称”下划线处如实填写</w:t>
      </w:r>
      <w:r>
        <w:rPr>
          <w:rFonts w:hint="eastAsia" w:asciiTheme="minorEastAsia" w:hAnsiTheme="minorEastAsia" w:eastAsiaTheme="minorEastAsia"/>
          <w:b/>
          <w:color w:val="FF0000"/>
          <w:kern w:val="0"/>
          <w:szCs w:val="21"/>
        </w:rPr>
        <w:t>采购项目名称</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（3）在“标的名称”下划线处填写所采购标的（货物或服务或工程）的具体名称</w:t>
      </w:r>
      <w:r>
        <w:rPr>
          <w:rFonts w:hint="eastAsia" w:asciiTheme="minorEastAsia" w:hAnsiTheme="minorEastAsia" w:eastAsiaTheme="minorEastAsia"/>
          <w:b/>
          <w:bCs/>
          <w:color w:val="FF0000"/>
          <w:kern w:val="0"/>
          <w:szCs w:val="21"/>
        </w:rPr>
        <w:t>（具体详见第二章项目需求，如涉及多项标的，投标人需逐项进行响应）</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（4）在“</w:t>
      </w:r>
      <w:r>
        <w:rPr>
          <w:rFonts w:asciiTheme="minorEastAsia" w:hAnsiTheme="minorEastAsia" w:eastAsiaTheme="minorEastAsia"/>
          <w:szCs w:val="21"/>
        </w:rPr>
        <w:t>采购文件</w:t>
      </w:r>
      <w:r>
        <w:rPr>
          <w:rFonts w:hint="eastAsia" w:asciiTheme="minorEastAsia" w:hAnsiTheme="minorEastAsia" w:eastAsiaTheme="minorEastAsia"/>
          <w:kern w:val="0"/>
          <w:szCs w:val="21"/>
        </w:rPr>
        <w:t>中明确的所属行业”下划线处填写采购文件规定的本项目所属行业</w:t>
      </w:r>
      <w:r>
        <w:rPr>
          <w:rFonts w:hint="eastAsia" w:asciiTheme="minorEastAsia" w:hAnsiTheme="minorEastAsia" w:eastAsiaTheme="minorEastAsia"/>
          <w:b/>
          <w:bCs/>
          <w:color w:val="FF0000"/>
          <w:kern w:val="0"/>
          <w:szCs w:val="21"/>
        </w:rPr>
        <w:t>（详见第四章 评标方法和标准）</w:t>
      </w:r>
      <w:r>
        <w:rPr>
          <w:rFonts w:hint="eastAsia" w:asciiTheme="minorEastAsia" w:hAnsiTheme="minorEastAsia" w:eastAsiaTheme="minorEastAsia"/>
          <w:kern w:val="0"/>
          <w:szCs w:val="21"/>
        </w:rPr>
        <w:t>；</w:t>
      </w:r>
    </w:p>
    <w:p>
      <w:pPr>
        <w:widowControl/>
        <w:snapToGrid w:val="0"/>
        <w:spacing w:line="360" w:lineRule="auto"/>
        <w:jc w:val="left"/>
        <w:rPr>
          <w:rFonts w:asciiTheme="minorEastAsia" w:hAnsiTheme="minorEastAsia" w:eastAsiaTheme="minorEastAsia"/>
          <w:kern w:val="0"/>
          <w:szCs w:val="21"/>
        </w:rPr>
      </w:pPr>
      <w:r>
        <w:rPr>
          <w:rFonts w:hint="eastAsia" w:asciiTheme="minorEastAsia" w:hAnsiTheme="minorEastAsia" w:eastAsiaTheme="minorEastAsia"/>
          <w:kern w:val="0"/>
          <w:szCs w:val="21"/>
        </w:rPr>
        <w:t xml:space="preserve">    （5）在“从业人员”、“营业收入”、“资产总额”下划线处如实填写</w:t>
      </w:r>
      <w:r>
        <w:rPr>
          <w:rFonts w:hint="eastAsia" w:asciiTheme="minorEastAsia" w:hAnsiTheme="minorEastAsia" w:eastAsiaTheme="minorEastAsia"/>
          <w:b/>
          <w:color w:val="FF0000"/>
          <w:kern w:val="0"/>
          <w:szCs w:val="21"/>
        </w:rPr>
        <w:t>制造商（货物类）或承接企业（服务或工程类）</w:t>
      </w:r>
      <w:r>
        <w:rPr>
          <w:rFonts w:hint="eastAsia" w:asciiTheme="minorEastAsia" w:hAnsiTheme="minorEastAsia" w:eastAsiaTheme="minorEastAsia"/>
          <w:kern w:val="0"/>
          <w:szCs w:val="21"/>
        </w:rPr>
        <w:t>上一年度从业人员、营业收入、资产总额，无上一年度数据的新成立企业可以不填报；</w:t>
      </w:r>
    </w:p>
    <w:p>
      <w:pPr>
        <w:widowControl/>
        <w:snapToGrid w:val="0"/>
        <w:spacing w:line="360" w:lineRule="auto"/>
        <w:ind w:firstLine="424" w:firstLineChars="202"/>
        <w:jc w:val="left"/>
        <w:rPr>
          <w:rFonts w:ascii="宋体" w:hAnsi="宋体" w:eastAsiaTheme="minorEastAsia" w:cstheme="minorBidi"/>
          <w:kern w:val="0"/>
          <w:szCs w:val="21"/>
        </w:rPr>
      </w:pPr>
      <w:r>
        <w:rPr>
          <w:rFonts w:hint="eastAsia" w:asciiTheme="minorEastAsia" w:hAnsiTheme="minorEastAsia" w:eastAsiaTheme="minorEastAsia"/>
          <w:kern w:val="0"/>
          <w:szCs w:val="21"/>
        </w:rPr>
        <w:t>（6）在“中型企业、小型企业、微型企业”下划线处如实依照工信部联企业〔2011〕300号文填写相应的企业类型</w:t>
      </w:r>
      <w:r>
        <w:rPr>
          <w:rFonts w:hint="eastAsia" w:ascii="宋体" w:hAnsi="宋体" w:eastAsiaTheme="minorEastAsia" w:cstheme="minorBidi"/>
          <w:kern w:val="0"/>
          <w:szCs w:val="21"/>
        </w:rPr>
        <w:t>；</w:t>
      </w:r>
    </w:p>
    <w:p>
      <w:pPr>
        <w:widowControl/>
        <w:snapToGrid w:val="0"/>
        <w:spacing w:line="360" w:lineRule="auto"/>
        <w:ind w:firstLine="426" w:firstLineChars="202"/>
        <w:jc w:val="left"/>
        <w:rPr>
          <w:b/>
          <w:bCs/>
          <w:color w:val="FF0000"/>
        </w:rPr>
      </w:pPr>
      <w:r>
        <w:rPr>
          <w:rFonts w:hint="eastAsia" w:asciiTheme="minorEastAsia" w:hAnsiTheme="minorEastAsia" w:eastAsiaTheme="minorEastAsia"/>
          <w:b/>
          <w:color w:val="FF0000"/>
          <w:kern w:val="0"/>
          <w:szCs w:val="21"/>
        </w:rPr>
        <w:t>（7）如为联合体投标或以分包形式投标的，需分别填写每家中小企业的企业名称、从业人员、营业收入、资产总额、企业类别（中型企业、小型企业、微型企业）等信息。</w:t>
      </w: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单位名称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bookmarkStart w:id="61" w:name="_Toc44691165"/>
      <w:bookmarkStart w:id="62" w:name="_Toc44690433"/>
      <w:bookmarkStart w:id="63" w:name="_Toc44690706"/>
      <w:bookmarkStart w:id="64" w:name="_Toc44691397"/>
      <w:bookmarkStart w:id="65" w:name="_Toc135293186"/>
    </w:p>
    <w:p/>
    <w:p>
      <w:pPr>
        <w:keepNext/>
        <w:keepLines/>
        <w:tabs>
          <w:tab w:val="left" w:pos="0"/>
        </w:tabs>
        <w:spacing w:before="280" w:after="290" w:line="376" w:lineRule="auto"/>
        <w:jc w:val="center"/>
        <w:outlineLvl w:val="3"/>
        <w:rPr>
          <w:rFonts w:ascii="宋体" w:hAnsi="宋体"/>
          <w:b/>
          <w:bCs/>
          <w:sz w:val="28"/>
          <w:szCs w:val="28"/>
        </w:rPr>
      </w:pPr>
      <w:r>
        <w:rPr>
          <w:rFonts w:hint="eastAsia" w:ascii="宋体" w:hAnsi="宋体"/>
          <w:b/>
          <w:bCs/>
          <w:sz w:val="28"/>
          <w:szCs w:val="28"/>
        </w:rPr>
        <w:t>列入政府优先采购清单的投标产品一览表</w:t>
      </w:r>
    </w:p>
    <w:tbl>
      <w:tblPr>
        <w:tblStyle w:val="50"/>
        <w:tblW w:w="101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1241"/>
        <w:gridCol w:w="2292"/>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40"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序号</w:t>
            </w:r>
          </w:p>
        </w:tc>
        <w:tc>
          <w:tcPr>
            <w:tcW w:w="1213"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投标产品名称</w:t>
            </w:r>
          </w:p>
        </w:tc>
        <w:tc>
          <w:tcPr>
            <w:tcW w:w="1840"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规格及型号</w:t>
            </w:r>
          </w:p>
        </w:tc>
        <w:tc>
          <w:tcPr>
            <w:tcW w:w="4351" w:type="dxa"/>
            <w:gridSpan w:val="3"/>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投标产品报价</w:t>
            </w:r>
          </w:p>
        </w:tc>
        <w:tc>
          <w:tcPr>
            <w:tcW w:w="1503"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属于优先采购清单的类别</w:t>
            </w:r>
          </w:p>
        </w:tc>
        <w:tc>
          <w:tcPr>
            <w:tcW w:w="720" w:type="dxa"/>
            <w:vMerge w:val="restart"/>
            <w:vAlign w:val="center"/>
          </w:tcPr>
          <w:p>
            <w:pPr>
              <w:keepNext w:val="0"/>
              <w:keepLines w:val="0"/>
              <w:suppressLineNumbers w:val="0"/>
              <w:spacing w:before="0" w:beforeAutospacing="0" w:after="0" w:afterAutospacing="0"/>
              <w:ind w:left="0" w:right="0"/>
              <w:jc w:val="center"/>
              <w:rPr>
                <w:rFonts w:hint="default"/>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keepNext w:val="0"/>
              <w:keepLines w:val="0"/>
              <w:suppressLineNumbers w:val="0"/>
              <w:spacing w:before="0" w:beforeAutospacing="0" w:after="0" w:afterAutospacing="0"/>
              <w:ind w:left="0" w:right="0"/>
              <w:rPr>
                <w:rFonts w:hint="default"/>
                <w:szCs w:val="21"/>
              </w:rPr>
            </w:pPr>
          </w:p>
        </w:tc>
        <w:tc>
          <w:tcPr>
            <w:tcW w:w="1213" w:type="dxa"/>
            <w:vMerge w:val="continue"/>
            <w:vAlign w:val="center"/>
          </w:tcPr>
          <w:p>
            <w:pPr>
              <w:keepNext w:val="0"/>
              <w:keepLines w:val="0"/>
              <w:suppressLineNumbers w:val="0"/>
              <w:spacing w:before="0" w:beforeAutospacing="0" w:after="0" w:afterAutospacing="0"/>
              <w:ind w:left="0" w:right="0"/>
              <w:rPr>
                <w:rFonts w:hint="default"/>
                <w:szCs w:val="21"/>
              </w:rPr>
            </w:pPr>
          </w:p>
        </w:tc>
        <w:tc>
          <w:tcPr>
            <w:tcW w:w="1840" w:type="dxa"/>
            <w:vMerge w:val="continue"/>
            <w:vAlign w:val="center"/>
          </w:tcPr>
          <w:p>
            <w:pPr>
              <w:keepNext w:val="0"/>
              <w:keepLines w:val="0"/>
              <w:suppressLineNumbers w:val="0"/>
              <w:spacing w:before="0" w:beforeAutospacing="0" w:after="0" w:afterAutospacing="0"/>
              <w:ind w:left="0" w:right="0"/>
              <w:rPr>
                <w:rFonts w:hint="default"/>
                <w:szCs w:val="21"/>
              </w:rPr>
            </w:pPr>
          </w:p>
        </w:tc>
        <w:tc>
          <w:tcPr>
            <w:tcW w:w="818" w:type="dxa"/>
            <w:vAlign w:val="center"/>
          </w:tcPr>
          <w:p>
            <w:pPr>
              <w:keepNext w:val="0"/>
              <w:keepLines w:val="0"/>
              <w:suppressLineNumbers w:val="0"/>
              <w:spacing w:before="0" w:beforeAutospacing="0" w:after="0" w:afterAutospacing="0"/>
              <w:ind w:left="0" w:right="0"/>
              <w:rPr>
                <w:rFonts w:hint="default"/>
                <w:szCs w:val="21"/>
              </w:rPr>
            </w:pPr>
            <w:r>
              <w:rPr>
                <w:rFonts w:hint="eastAsia"/>
                <w:szCs w:val="21"/>
              </w:rPr>
              <w:t>数量</w:t>
            </w:r>
          </w:p>
        </w:tc>
        <w:tc>
          <w:tcPr>
            <w:tcW w:w="1241"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投标单价（元）</w:t>
            </w:r>
          </w:p>
        </w:tc>
        <w:tc>
          <w:tcPr>
            <w:tcW w:w="2292"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投标</w:t>
            </w:r>
            <w:r>
              <w:rPr>
                <w:rFonts w:hint="eastAsia" w:ascii="宋体" w:hAnsi="宋体"/>
                <w:szCs w:val="21"/>
              </w:rPr>
              <w:t>合计</w:t>
            </w:r>
            <w:r>
              <w:rPr>
                <w:rFonts w:hint="eastAsia"/>
                <w:szCs w:val="21"/>
              </w:rPr>
              <w:t>报价（元）</w:t>
            </w:r>
          </w:p>
        </w:tc>
        <w:tc>
          <w:tcPr>
            <w:tcW w:w="1503" w:type="dxa"/>
            <w:vMerge w:val="continue"/>
            <w:vAlign w:val="center"/>
          </w:tcPr>
          <w:p>
            <w:pPr>
              <w:keepNext w:val="0"/>
              <w:keepLines w:val="0"/>
              <w:suppressLineNumbers w:val="0"/>
              <w:spacing w:before="0" w:beforeAutospacing="0" w:after="0" w:afterAutospacing="0"/>
              <w:ind w:left="0" w:right="0"/>
              <w:rPr>
                <w:rFonts w:hint="default"/>
                <w:szCs w:val="21"/>
              </w:rPr>
            </w:pPr>
          </w:p>
        </w:tc>
        <w:tc>
          <w:tcPr>
            <w:tcW w:w="720" w:type="dxa"/>
            <w:vMerge w:val="continue"/>
            <w:vAlign w:val="center"/>
          </w:tcPr>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1</w:t>
            </w:r>
          </w:p>
        </w:tc>
        <w:tc>
          <w:tcPr>
            <w:tcW w:w="1213" w:type="dxa"/>
            <w:vAlign w:val="center"/>
          </w:tcPr>
          <w:p>
            <w:pPr>
              <w:keepNext w:val="0"/>
              <w:keepLines w:val="0"/>
              <w:suppressLineNumbers w:val="0"/>
              <w:spacing w:before="0" w:beforeAutospacing="0" w:after="0" w:afterAutospacing="0"/>
              <w:ind w:left="0" w:right="0"/>
              <w:jc w:val="center"/>
              <w:rPr>
                <w:rFonts w:hint="default"/>
                <w:szCs w:val="21"/>
              </w:rPr>
            </w:pPr>
          </w:p>
        </w:tc>
        <w:tc>
          <w:tcPr>
            <w:tcW w:w="1840" w:type="dxa"/>
            <w:vAlign w:val="center"/>
          </w:tcPr>
          <w:p>
            <w:pPr>
              <w:keepNext w:val="0"/>
              <w:keepLines w:val="0"/>
              <w:suppressLineNumbers w:val="0"/>
              <w:spacing w:before="0" w:beforeAutospacing="0" w:after="0" w:afterAutospacing="0"/>
              <w:ind w:left="0" w:right="0"/>
              <w:jc w:val="center"/>
              <w:rPr>
                <w:rFonts w:hint="default"/>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szCs w:val="21"/>
              </w:rPr>
            </w:pPr>
          </w:p>
        </w:tc>
        <w:tc>
          <w:tcPr>
            <w:tcW w:w="1241" w:type="dxa"/>
            <w:vAlign w:val="center"/>
          </w:tcPr>
          <w:p>
            <w:pPr>
              <w:keepNext w:val="0"/>
              <w:keepLines w:val="0"/>
              <w:suppressLineNumbers w:val="0"/>
              <w:spacing w:before="0" w:beforeAutospacing="0" w:after="0" w:afterAutospacing="0"/>
              <w:ind w:left="0" w:right="0"/>
              <w:jc w:val="center"/>
              <w:rPr>
                <w:rFonts w:hint="default"/>
                <w:szCs w:val="21"/>
              </w:rPr>
            </w:pPr>
          </w:p>
        </w:tc>
        <w:tc>
          <w:tcPr>
            <w:tcW w:w="2292" w:type="dxa"/>
            <w:vAlign w:val="center"/>
          </w:tcPr>
          <w:p>
            <w:pPr>
              <w:keepNext w:val="0"/>
              <w:keepLines w:val="0"/>
              <w:suppressLineNumbers w:val="0"/>
              <w:spacing w:before="0" w:beforeAutospacing="0" w:after="0" w:afterAutospacing="0"/>
              <w:ind w:left="0" w:right="0"/>
              <w:jc w:val="center"/>
              <w:rPr>
                <w:rFonts w:hint="default"/>
                <w:szCs w:val="21"/>
              </w:rPr>
            </w:pPr>
          </w:p>
        </w:tc>
        <w:tc>
          <w:tcPr>
            <w:tcW w:w="1503" w:type="dxa"/>
            <w:vAlign w:val="center"/>
          </w:tcPr>
          <w:p>
            <w:pPr>
              <w:keepNext w:val="0"/>
              <w:keepLines w:val="0"/>
              <w:suppressLineNumbers w:val="0"/>
              <w:spacing w:before="0" w:beforeAutospacing="0" w:after="0" w:afterAutospacing="0"/>
              <w:ind w:left="0" w:right="0"/>
              <w:jc w:val="center"/>
              <w:rPr>
                <w:rFonts w:hint="default"/>
                <w:szCs w:val="21"/>
              </w:rPr>
            </w:pPr>
          </w:p>
        </w:tc>
        <w:tc>
          <w:tcPr>
            <w:tcW w:w="720" w:type="dxa"/>
            <w:vAlign w:val="center"/>
          </w:tcPr>
          <w:p>
            <w:pPr>
              <w:keepNext w:val="0"/>
              <w:keepLines w:val="0"/>
              <w:suppressLineNumbers w:val="0"/>
              <w:spacing w:before="0" w:beforeAutospacing="0" w:after="0" w:afterAutospacing="0"/>
              <w:ind w:left="0" w:right="0"/>
              <w:jc w:val="center"/>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szCs w:val="21"/>
              </w:rPr>
              <w:t>2</w:t>
            </w:r>
          </w:p>
        </w:tc>
        <w:tc>
          <w:tcPr>
            <w:tcW w:w="1213" w:type="dxa"/>
            <w:vAlign w:val="center"/>
          </w:tcPr>
          <w:p>
            <w:pPr>
              <w:keepNext w:val="0"/>
              <w:keepLines w:val="0"/>
              <w:suppressLineNumbers w:val="0"/>
              <w:spacing w:before="0" w:beforeAutospacing="0" w:after="0" w:afterAutospacing="0"/>
              <w:ind w:left="0" w:right="0"/>
              <w:jc w:val="center"/>
              <w:rPr>
                <w:rFonts w:hint="default"/>
                <w:szCs w:val="21"/>
              </w:rPr>
            </w:pPr>
          </w:p>
        </w:tc>
        <w:tc>
          <w:tcPr>
            <w:tcW w:w="1840" w:type="dxa"/>
            <w:vAlign w:val="center"/>
          </w:tcPr>
          <w:p>
            <w:pPr>
              <w:keepNext w:val="0"/>
              <w:keepLines w:val="0"/>
              <w:suppressLineNumbers w:val="0"/>
              <w:spacing w:before="0" w:beforeAutospacing="0" w:after="0" w:afterAutospacing="0"/>
              <w:ind w:left="0" w:right="0"/>
              <w:jc w:val="center"/>
              <w:rPr>
                <w:rFonts w:hint="default"/>
                <w:szCs w:val="21"/>
              </w:rPr>
            </w:pPr>
          </w:p>
        </w:tc>
        <w:tc>
          <w:tcPr>
            <w:tcW w:w="818" w:type="dxa"/>
            <w:vAlign w:val="center"/>
          </w:tcPr>
          <w:p>
            <w:pPr>
              <w:keepNext w:val="0"/>
              <w:keepLines w:val="0"/>
              <w:suppressLineNumbers w:val="0"/>
              <w:spacing w:before="0" w:beforeAutospacing="0" w:after="0" w:afterAutospacing="0"/>
              <w:ind w:left="0" w:right="0"/>
              <w:jc w:val="center"/>
              <w:rPr>
                <w:rFonts w:hint="default"/>
                <w:szCs w:val="21"/>
              </w:rPr>
            </w:pPr>
          </w:p>
        </w:tc>
        <w:tc>
          <w:tcPr>
            <w:tcW w:w="1241" w:type="dxa"/>
            <w:vAlign w:val="center"/>
          </w:tcPr>
          <w:p>
            <w:pPr>
              <w:keepNext w:val="0"/>
              <w:keepLines w:val="0"/>
              <w:suppressLineNumbers w:val="0"/>
              <w:spacing w:before="0" w:beforeAutospacing="0" w:after="0" w:afterAutospacing="0"/>
              <w:ind w:left="0" w:right="0"/>
              <w:jc w:val="center"/>
              <w:rPr>
                <w:rFonts w:hint="default"/>
                <w:szCs w:val="21"/>
              </w:rPr>
            </w:pPr>
          </w:p>
        </w:tc>
        <w:tc>
          <w:tcPr>
            <w:tcW w:w="2292" w:type="dxa"/>
            <w:vAlign w:val="center"/>
          </w:tcPr>
          <w:p>
            <w:pPr>
              <w:keepNext w:val="0"/>
              <w:keepLines w:val="0"/>
              <w:suppressLineNumbers w:val="0"/>
              <w:spacing w:before="0" w:beforeAutospacing="0" w:after="0" w:afterAutospacing="0"/>
              <w:ind w:left="0" w:right="0"/>
              <w:jc w:val="center"/>
              <w:rPr>
                <w:rFonts w:hint="default"/>
                <w:szCs w:val="21"/>
              </w:rPr>
            </w:pPr>
          </w:p>
        </w:tc>
        <w:tc>
          <w:tcPr>
            <w:tcW w:w="1503" w:type="dxa"/>
            <w:vAlign w:val="center"/>
          </w:tcPr>
          <w:p>
            <w:pPr>
              <w:keepNext w:val="0"/>
              <w:keepLines w:val="0"/>
              <w:suppressLineNumbers w:val="0"/>
              <w:spacing w:before="0" w:beforeAutospacing="0" w:after="0" w:afterAutospacing="0"/>
              <w:ind w:left="0" w:right="0"/>
              <w:jc w:val="center"/>
              <w:rPr>
                <w:rFonts w:hint="default"/>
                <w:szCs w:val="21"/>
              </w:rPr>
            </w:pPr>
          </w:p>
        </w:tc>
        <w:tc>
          <w:tcPr>
            <w:tcW w:w="720" w:type="dxa"/>
            <w:vAlign w:val="center"/>
          </w:tcPr>
          <w:p>
            <w:pPr>
              <w:keepNext w:val="0"/>
              <w:keepLines w:val="0"/>
              <w:suppressLineNumbers w:val="0"/>
              <w:spacing w:before="0" w:beforeAutospacing="0" w:after="0" w:afterAutospacing="0"/>
              <w:ind w:left="0" w:right="0"/>
              <w:jc w:val="center"/>
              <w:rPr>
                <w:rFonts w:hint="default"/>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ascii="宋体" w:hAnsi="宋体"/>
          <w:b/>
          <w:szCs w:val="21"/>
        </w:rPr>
        <w:t>对</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投标产品，投标人须提供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以及相应的节能或环境标志产品政府采购品目清单，并显著标识投标产品所处位置。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rPr>
          <w:rFonts w:hint="eastAsia"/>
          <w:szCs w:val="21"/>
        </w:rPr>
        <w:t>投标产品若不属于上述清单或目录范围内，则无需填写该表。</w:t>
      </w:r>
    </w:p>
    <w:p>
      <w:pPr>
        <w:spacing w:line="360" w:lineRule="auto"/>
        <w:rPr>
          <w:rFonts w:ascii="宋体" w:hAnsi="宋体"/>
          <w:szCs w:val="21"/>
        </w:rPr>
      </w:pPr>
      <w:r>
        <w:rPr>
          <w:rFonts w:hint="eastAsia" w:ascii="宋体" w:hAnsi="宋体"/>
          <w:szCs w:val="21"/>
        </w:rPr>
        <w:t>2. “投标产品报价”栏中须准确填报该投标产品的投标单价、数量及投标合计报价；投标产品名称、规格型号、价格应与“分项报价表”一致，如不一致，以“分项报价表”为准。</w:t>
      </w:r>
    </w:p>
    <w:p>
      <w:pPr>
        <w:spacing w:line="360" w:lineRule="auto"/>
        <w:rPr>
          <w:rFonts w:ascii="宋体" w:hAnsi="宋体"/>
          <w:szCs w:val="21"/>
        </w:rPr>
      </w:pPr>
      <w:r>
        <w:rPr>
          <w:rFonts w:hint="eastAsia" w:ascii="宋体" w:hAnsi="宋体"/>
          <w:szCs w:val="21"/>
        </w:rPr>
        <w:t>3. “属于优先采购清单的类别”栏中填写“节能产品政府采购品目清单”或“环境标志产品政府采购品目清单”。</w:t>
      </w:r>
    </w:p>
    <w:p>
      <w:pPr>
        <w:widowControl/>
        <w:jc w:val="left"/>
      </w:pPr>
      <w:r>
        <w:br w:type="page"/>
      </w:r>
    </w:p>
    <w:p/>
    <w:p>
      <w:pPr>
        <w:pStyle w:val="3"/>
        <w:tabs>
          <w:tab w:val="left" w:pos="371"/>
        </w:tabs>
        <w:spacing w:before="120" w:after="120"/>
        <w:ind w:left="-1" w:leftChars="-1" w:hanging="1"/>
        <w:jc w:val="center"/>
        <w:rPr>
          <w:rFonts w:asciiTheme="minorEastAsia" w:hAnsiTheme="minorEastAsia" w:eastAsiaTheme="minorEastAsia"/>
        </w:rPr>
      </w:pPr>
      <w:r>
        <w:rPr>
          <w:rFonts w:hint="eastAsia" w:asciiTheme="minorEastAsia" w:hAnsiTheme="minorEastAsia" w:eastAsiaTheme="minorEastAsia"/>
        </w:rPr>
        <w:t>格式5  开标一览表</w:t>
      </w:r>
      <w:bookmarkEnd w:id="61"/>
      <w:bookmarkEnd w:id="62"/>
      <w:bookmarkEnd w:id="63"/>
      <w:bookmarkEnd w:id="64"/>
      <w:bookmarkEnd w:id="65"/>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11"/>
        <w:gridCol w:w="403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611" w:type="dxa"/>
            <w:tcBorders>
              <w:top w:val="doub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rPr>
            </w:pPr>
            <w:r>
              <w:rPr>
                <w:rFonts w:hint="default"/>
                <w:snapToGrid w:val="0"/>
                <w:kern w:val="0"/>
              </w:rPr>
              <w:t>项目名称</w:t>
            </w:r>
          </w:p>
        </w:tc>
        <w:tc>
          <w:tcPr>
            <w:tcW w:w="4034" w:type="dxa"/>
            <w:tcBorders>
              <w:top w:val="doub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rPr>
            </w:pPr>
            <w:r>
              <w:rPr>
                <w:rFonts w:hint="default"/>
                <w:snapToGrid w:val="0"/>
                <w:kern w:val="0"/>
              </w:rPr>
              <w:t>投标</w:t>
            </w:r>
            <w:r>
              <w:rPr>
                <w:rFonts w:hint="eastAsia"/>
                <w:snapToGrid w:val="0"/>
                <w:kern w:val="0"/>
              </w:rPr>
              <w:t>总</w:t>
            </w:r>
            <w:r>
              <w:rPr>
                <w:rFonts w:hint="default"/>
                <w:snapToGrid w:val="0"/>
                <w:kern w:val="0"/>
              </w:rPr>
              <w:t>价</w:t>
            </w:r>
          </w:p>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rPr>
            </w:pPr>
            <w:r>
              <w:rPr>
                <w:rFonts w:hint="default"/>
                <w:snapToGrid w:val="0"/>
                <w:kern w:val="0"/>
              </w:rPr>
              <w:t>（人民币元）</w:t>
            </w:r>
          </w:p>
        </w:tc>
        <w:tc>
          <w:tcPr>
            <w:tcW w:w="1843" w:type="dxa"/>
            <w:tcBorders>
              <w:top w:val="double" w:color="auto" w:sz="4" w:space="0"/>
              <w:bottom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611"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eastAsia" w:eastAsia="宋体"/>
                <w:lang w:eastAsia="zh-CN"/>
              </w:rPr>
            </w:pPr>
            <w:r>
              <w:rPr>
                <w:rFonts w:hint="eastAsia" w:asciiTheme="minorEastAsia" w:hAnsiTheme="minorEastAsia" w:eastAsiaTheme="minorEastAsia"/>
                <w:lang w:eastAsia="zh-CN"/>
              </w:rPr>
              <w:t>2024深圳市国家基本公共卫生服务项目宣传月活动委托服务</w:t>
            </w:r>
          </w:p>
        </w:tc>
        <w:tc>
          <w:tcPr>
            <w:tcW w:w="4034"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u w:val="single"/>
              </w:rPr>
            </w:pPr>
          </w:p>
        </w:tc>
        <w:tc>
          <w:tcPr>
            <w:tcW w:w="1843" w:type="dxa"/>
            <w:tcBorders>
              <w:top w:val="single" w:color="auto" w:sz="4" w:space="0"/>
            </w:tcBorders>
            <w:vAlign w:val="center"/>
          </w:tcPr>
          <w:p>
            <w:pPr>
              <w:keepNext w:val="0"/>
              <w:keepLines w:val="0"/>
              <w:suppressLineNumbers w:val="0"/>
              <w:adjustRightInd w:val="0"/>
              <w:snapToGrid w:val="0"/>
              <w:spacing w:before="0" w:beforeAutospacing="0" w:after="0" w:afterAutospacing="0" w:line="360" w:lineRule="auto"/>
              <w:ind w:left="0" w:right="0"/>
              <w:jc w:val="center"/>
              <w:rPr>
                <w:rFonts w:hint="default"/>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法定代表人或其授权代表：（签字）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r>
        <w:rPr>
          <w:rFonts w:hint="eastAsia" w:ascii="宋体" w:hAnsi="宋体"/>
          <w:bCs/>
        </w:rPr>
        <w:t>，允许仅填报小写金额</w:t>
      </w:r>
      <w:r>
        <w:rPr>
          <w:rFonts w:ascii="宋体" w:hAnsi="宋体"/>
          <w:bCs/>
        </w:rPr>
        <w:t>。</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rPr>
          <w:b/>
          <w:sz w:val="28"/>
        </w:rPr>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
    <w:p/>
    <w:p/>
    <w:p/>
    <w:p/>
    <w:p/>
    <w:p/>
    <w:p/>
    <w:p>
      <w:r>
        <w:br w:type="page"/>
      </w:r>
    </w:p>
    <w:p/>
    <w:p>
      <w:pPr>
        <w:pStyle w:val="3"/>
        <w:tabs>
          <w:tab w:val="left" w:pos="371"/>
        </w:tabs>
        <w:spacing w:before="120" w:after="120"/>
        <w:ind w:left="-1" w:leftChars="-1" w:hanging="1"/>
        <w:jc w:val="center"/>
        <w:rPr>
          <w:rFonts w:asciiTheme="minorEastAsia" w:hAnsiTheme="minorEastAsia" w:eastAsiaTheme="minorEastAsia"/>
        </w:rPr>
      </w:pPr>
      <w:bookmarkStart w:id="66" w:name="_Toc44691166"/>
      <w:bookmarkStart w:id="67" w:name="_Toc135293187"/>
      <w:bookmarkStart w:id="68" w:name="_Toc44691398"/>
      <w:bookmarkStart w:id="69" w:name="_Toc44690707"/>
      <w:bookmarkStart w:id="70" w:name="_Toc44690434"/>
      <w:r>
        <w:rPr>
          <w:rFonts w:hint="eastAsia" w:asciiTheme="minorEastAsia" w:hAnsiTheme="minorEastAsia" w:eastAsiaTheme="minorEastAsia"/>
        </w:rPr>
        <w:t>格式6  报价表</w:t>
      </w:r>
      <w:bookmarkEnd w:id="66"/>
      <w:bookmarkEnd w:id="67"/>
      <w:bookmarkEnd w:id="68"/>
      <w:bookmarkEnd w:id="69"/>
      <w:bookmarkEnd w:id="70"/>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b/>
                <w:snapToGrid w:val="0"/>
                <w:kern w:val="0"/>
              </w:rPr>
            </w:pPr>
            <w:r>
              <w:rPr>
                <w:rFonts w:hint="default"/>
                <w:b/>
                <w:snapToGrid w:val="0"/>
                <w:kern w:val="0"/>
              </w:rPr>
              <w:t>序号</w:t>
            </w:r>
          </w:p>
        </w:tc>
        <w:tc>
          <w:tcPr>
            <w:tcW w:w="3588"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b/>
                <w:snapToGrid w:val="0"/>
                <w:kern w:val="0"/>
              </w:rPr>
            </w:pPr>
            <w:r>
              <w:rPr>
                <w:rFonts w:hint="eastAsia"/>
                <w:b/>
                <w:snapToGrid w:val="0"/>
                <w:kern w:val="0"/>
              </w:rPr>
              <w:t>项目内容</w:t>
            </w: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b/>
                <w:snapToGrid w:val="0"/>
                <w:kern w:val="0"/>
              </w:rPr>
            </w:pPr>
            <w:r>
              <w:rPr>
                <w:rFonts w:hint="eastAsia"/>
                <w:b/>
                <w:snapToGrid w:val="0"/>
                <w:kern w:val="0"/>
              </w:rPr>
              <w:t>费用</w:t>
            </w:r>
            <w:r>
              <w:rPr>
                <w:rFonts w:hint="default"/>
                <w:b/>
                <w:snapToGrid w:val="0"/>
                <w:kern w:val="0"/>
              </w:rPr>
              <w:t>（单位：</w:t>
            </w:r>
            <w:r>
              <w:rPr>
                <w:rFonts w:hint="eastAsia"/>
                <w:b/>
                <w:snapToGrid w:val="0"/>
                <w:kern w:val="0"/>
              </w:rPr>
              <w:t>人民币</w:t>
            </w:r>
            <w:r>
              <w:rPr>
                <w:rFonts w:hint="default"/>
                <w:b/>
                <w:snapToGrid w:val="0"/>
                <w:kern w:val="0"/>
              </w:rPr>
              <w:t>元）</w:t>
            </w: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hAnsi="宋体"/>
                <w:snapToGrid w:val="0"/>
                <w:kern w:val="0"/>
              </w:rPr>
            </w:pPr>
            <w:r>
              <w:rPr>
                <w:rFonts w:hint="default" w:ascii="宋体" w:hAnsi="宋体"/>
                <w:snapToGrid w:val="0"/>
                <w:kern w:val="0"/>
              </w:rPr>
              <w:t>1</w:t>
            </w:r>
          </w:p>
        </w:tc>
        <w:tc>
          <w:tcPr>
            <w:tcW w:w="3588" w:type="dxa"/>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宋体"/>
                <w:snapToGrid w:val="0"/>
                <w:kern w:val="0"/>
              </w:rPr>
            </w:pP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hAnsi="宋体"/>
                <w:snapToGrid w:val="0"/>
                <w:kern w:val="0"/>
              </w:rPr>
            </w:pPr>
            <w:r>
              <w:rPr>
                <w:rFonts w:hint="eastAsia" w:ascii="宋体" w:hAnsi="宋体"/>
                <w:snapToGrid w:val="0"/>
                <w:kern w:val="0"/>
              </w:rPr>
              <w:t>2</w:t>
            </w:r>
          </w:p>
        </w:tc>
        <w:tc>
          <w:tcPr>
            <w:tcW w:w="3588" w:type="dxa"/>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宋体"/>
                <w:szCs w:val="21"/>
                <w:lang w:val="zh-CN"/>
              </w:rPr>
            </w:pP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hAnsi="宋体"/>
                <w:snapToGrid w:val="0"/>
                <w:kern w:val="0"/>
              </w:rPr>
            </w:pPr>
            <w:r>
              <w:rPr>
                <w:rFonts w:hint="eastAsia" w:ascii="宋体" w:hAnsi="宋体"/>
                <w:snapToGrid w:val="0"/>
                <w:kern w:val="0"/>
              </w:rPr>
              <w:t>3</w:t>
            </w:r>
          </w:p>
        </w:tc>
        <w:tc>
          <w:tcPr>
            <w:tcW w:w="3588" w:type="dxa"/>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宋体"/>
                <w:szCs w:val="21"/>
                <w:lang w:val="zh-CN"/>
              </w:rPr>
            </w:pP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ascii="宋体" w:hAnsi="宋体"/>
                <w:snapToGrid w:val="0"/>
                <w:kern w:val="0"/>
              </w:rPr>
            </w:pPr>
            <w:r>
              <w:rPr>
                <w:rFonts w:hint="eastAsia" w:ascii="宋体" w:hAnsi="宋体"/>
                <w:snapToGrid w:val="0"/>
                <w:kern w:val="0"/>
              </w:rPr>
              <w:t>4</w:t>
            </w:r>
          </w:p>
        </w:tc>
        <w:tc>
          <w:tcPr>
            <w:tcW w:w="3588" w:type="dxa"/>
            <w:vAlign w:val="center"/>
          </w:tcPr>
          <w:p>
            <w:pPr>
              <w:keepNext w:val="0"/>
              <w:keepLines w:val="0"/>
              <w:suppressLineNumbers w:val="0"/>
              <w:adjustRightInd w:val="0"/>
              <w:snapToGrid w:val="0"/>
              <w:spacing w:before="0" w:beforeAutospacing="0" w:after="0" w:afterAutospacing="0" w:line="300" w:lineRule="auto"/>
              <w:ind w:left="0" w:right="0"/>
              <w:rPr>
                <w:rFonts w:hint="default" w:ascii="宋体" w:hAnsi="宋体"/>
                <w:szCs w:val="21"/>
                <w:lang w:val="zh-CN"/>
              </w:rPr>
            </w:pP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r>
              <w:rPr>
                <w:rFonts w:hint="default"/>
                <w:snapToGrid w:val="0"/>
                <w:kern w:val="0"/>
              </w:rPr>
              <w:t>合   计</w:t>
            </w:r>
          </w:p>
        </w:tc>
        <w:tc>
          <w:tcPr>
            <w:tcW w:w="2664"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c>
          <w:tcPr>
            <w:tcW w:w="2376" w:type="dxa"/>
            <w:vAlign w:val="center"/>
          </w:tcPr>
          <w:p>
            <w:pPr>
              <w:keepNext w:val="0"/>
              <w:keepLines w:val="0"/>
              <w:suppressLineNumbers w:val="0"/>
              <w:adjustRightInd w:val="0"/>
              <w:snapToGrid w:val="0"/>
              <w:spacing w:before="0" w:beforeAutospacing="0" w:after="0" w:afterAutospacing="0" w:line="300" w:lineRule="auto"/>
              <w:ind w:left="0" w:right="0"/>
              <w:jc w:val="center"/>
              <w:rPr>
                <w:rFonts w:hint="default"/>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Pr>
        <w:pStyle w:val="28"/>
        <w:adjustRightInd w:val="0"/>
        <w:snapToGrid w:val="0"/>
        <w:spacing w:line="312" w:lineRule="auto"/>
        <w:jc w:val="center"/>
        <w:rPr>
          <w:rFonts w:ascii="Times New Roman" w:hAnsi="Times New Roman"/>
          <w:b/>
          <w:sz w:val="28"/>
        </w:rPr>
      </w:pPr>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1" w:name="_Toc44691399"/>
      <w:bookmarkStart w:id="72" w:name="_Toc44691167"/>
      <w:bookmarkStart w:id="73" w:name="_Toc135293188"/>
      <w:bookmarkStart w:id="74" w:name="_Toc44690708"/>
      <w:bookmarkStart w:id="75" w:name="_Toc44690435"/>
      <w:r>
        <w:rPr>
          <w:rFonts w:hint="eastAsia" w:asciiTheme="minorEastAsia" w:hAnsiTheme="minorEastAsia" w:eastAsiaTheme="minorEastAsia"/>
        </w:rPr>
        <w:t>格式7  服务方案</w:t>
      </w:r>
      <w:bookmarkEnd w:id="71"/>
      <w:bookmarkEnd w:id="72"/>
      <w:bookmarkEnd w:id="73"/>
      <w:bookmarkEnd w:id="74"/>
      <w:bookmarkEnd w:id="75"/>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hint="eastAsia" w:ascii="宋体" w:hAnsi="宋体" w:cs="宋体"/>
          <w:szCs w:val="21"/>
        </w:rPr>
      </w:pPr>
      <w:r>
        <w:rPr>
          <w:rFonts w:hint="eastAsia" w:ascii="宋体" w:hAnsi="宋体"/>
          <w:szCs w:val="21"/>
        </w:rPr>
        <w:t>1、</w:t>
      </w:r>
      <w:r>
        <w:rPr>
          <w:rFonts w:hint="eastAsia" w:ascii="宋体" w:hAnsi="宋体" w:cs="宋体"/>
          <w:szCs w:val="21"/>
        </w:rPr>
        <w:t>服务方案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2、</w:t>
      </w:r>
      <w:r>
        <w:rPr>
          <w:rFonts w:hint="eastAsia" w:ascii="宋体" w:hAnsi="宋体" w:cs="宋体"/>
          <w:szCs w:val="21"/>
        </w:rPr>
        <w:t>项目重点难点分析、应对措施及相关的合理化建议</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3、</w:t>
      </w:r>
      <w:r>
        <w:rPr>
          <w:rFonts w:hint="eastAsia" w:ascii="宋体" w:hAnsi="宋体" w:cs="宋体"/>
          <w:szCs w:val="21"/>
        </w:rPr>
        <w:t>质量保障措施及方案</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4、</w:t>
      </w:r>
      <w:r>
        <w:rPr>
          <w:rFonts w:hint="eastAsia" w:ascii="宋体" w:hAnsi="宋体" w:cs="宋体"/>
          <w:szCs w:val="21"/>
        </w:rPr>
        <w:t>违约承诺</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5、</w:t>
      </w:r>
      <w:r>
        <w:rPr>
          <w:rFonts w:hint="eastAsia" w:ascii="宋体" w:hAnsi="宋体" w:cs="宋体"/>
          <w:szCs w:val="21"/>
        </w:rPr>
        <w:t>拟安排的项目负责人(仅限1人）情况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6、</w:t>
      </w:r>
      <w:r>
        <w:rPr>
          <w:rFonts w:hint="eastAsia" w:ascii="宋体" w:hAnsi="宋体" w:cs="宋体"/>
          <w:szCs w:val="21"/>
        </w:rPr>
        <w:t>拟安排的项目团队成员（项目负责人除外）情况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7、</w:t>
      </w:r>
      <w:r>
        <w:rPr>
          <w:rFonts w:hint="eastAsia" w:ascii="宋体" w:hAnsi="宋体" w:cs="宋体"/>
          <w:szCs w:val="21"/>
        </w:rPr>
        <w:t>同类项目业绩情况</w:t>
      </w:r>
    </w:p>
    <w:p>
      <w:pPr>
        <w:spacing w:line="360" w:lineRule="auto"/>
        <w:ind w:firstLine="420" w:firstLineChars="200"/>
        <w:rPr>
          <w:rFonts w:hint="eastAsia" w:ascii="宋体" w:hAnsi="宋体" w:cs="宋体"/>
          <w:szCs w:val="21"/>
        </w:rPr>
      </w:pPr>
      <w:r>
        <w:rPr>
          <w:rFonts w:hint="eastAsia" w:ascii="宋体" w:hAnsi="宋体" w:cs="宋体"/>
          <w:szCs w:val="21"/>
          <w:lang w:val="en-US" w:eastAsia="zh-CN"/>
        </w:rPr>
        <w:t>8、</w:t>
      </w:r>
      <w:r>
        <w:rPr>
          <w:rFonts w:hint="eastAsia" w:ascii="宋体" w:hAnsi="宋体" w:cs="宋体"/>
          <w:szCs w:val="21"/>
        </w:rPr>
        <w:t>获奖（荣誉）情况</w:t>
      </w:r>
    </w:p>
    <w:p>
      <w:pPr>
        <w:spacing w:line="360" w:lineRule="auto"/>
        <w:ind w:firstLine="420" w:firstLineChars="200"/>
        <w:rPr>
          <w:rFonts w:ascii="宋体" w:hAnsi="宋体"/>
          <w:szCs w:val="21"/>
        </w:rPr>
      </w:pPr>
      <w:r>
        <w:rPr>
          <w:rFonts w:hint="eastAsia" w:ascii="宋体" w:hAnsi="宋体" w:cs="宋体"/>
          <w:szCs w:val="21"/>
          <w:lang w:val="en-US" w:eastAsia="zh-CN"/>
        </w:rPr>
        <w:t>9、</w:t>
      </w:r>
      <w:r>
        <w:rPr>
          <w:rFonts w:hint="eastAsia" w:ascii="宋体" w:hAnsi="宋体" w:cs="宋体"/>
          <w:szCs w:val="21"/>
        </w:rPr>
        <w:t>诚信评审</w:t>
      </w:r>
    </w:p>
    <w:p>
      <w:pPr>
        <w:spacing w:line="360" w:lineRule="auto"/>
        <w:ind w:left="420"/>
        <w:rPr>
          <w:rFonts w:ascii="宋体" w:hAnsi="宋体"/>
          <w:bCs/>
        </w:rPr>
      </w:pPr>
      <w:r>
        <w:rPr>
          <w:rFonts w:hint="eastAsia" w:ascii="宋体" w:hAnsi="宋体"/>
          <w:bCs/>
          <w:lang w:val="en-US" w:eastAsia="zh-CN"/>
        </w:rPr>
        <w:t>10</w:t>
      </w:r>
      <w:r>
        <w:rPr>
          <w:rFonts w:hint="eastAsia" w:ascii="宋体" w:hAnsi="宋体"/>
          <w:bCs/>
        </w:rPr>
        <w:t>、投标人认为必要的其他方案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序号</w:t>
            </w:r>
          </w:p>
        </w:tc>
        <w:tc>
          <w:tcPr>
            <w:tcW w:w="1491"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项目</w:t>
            </w:r>
          </w:p>
        </w:tc>
        <w:tc>
          <w:tcPr>
            <w:tcW w:w="851"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姓名</w:t>
            </w:r>
          </w:p>
        </w:tc>
        <w:tc>
          <w:tcPr>
            <w:tcW w:w="567"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学历</w:t>
            </w:r>
          </w:p>
        </w:tc>
        <w:tc>
          <w:tcPr>
            <w:tcW w:w="1308"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keepNext w:val="0"/>
              <w:keepLines w:val="0"/>
              <w:suppressLineNumbers w:val="0"/>
              <w:spacing w:before="0" w:beforeAutospacing="0" w:after="0" w:afterAutospacing="0"/>
              <w:ind w:left="0" w:right="-53" w:rightChars="-25"/>
              <w:jc w:val="center"/>
              <w:rPr>
                <w:rFonts w:hint="default"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default" w:ascii="宋体" w:hAnsi="宋体" w:cs="Courier New"/>
                <w:snapToGrid w:val="0"/>
                <w:szCs w:val="21"/>
              </w:rPr>
              <w:t>1</w:t>
            </w:r>
          </w:p>
        </w:tc>
        <w:tc>
          <w:tcPr>
            <w:tcW w:w="1491" w:type="dxa"/>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vAlign w:val="center"/>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项目团队成员</w:t>
            </w: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3</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4</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5</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6</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7</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8</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r>
              <w:rPr>
                <w:rFonts w:hint="eastAsia" w:ascii="宋体" w:hAnsi="宋体" w:cs="Courier New"/>
                <w:snapToGrid w:val="0"/>
                <w:szCs w:val="21"/>
              </w:rPr>
              <w:t>9</w:t>
            </w:r>
          </w:p>
        </w:tc>
        <w:tc>
          <w:tcPr>
            <w:tcW w:w="1491" w:type="dxa"/>
            <w:vMerge w:val="continue"/>
          </w:tcPr>
          <w:p>
            <w:pPr>
              <w:keepNext w:val="0"/>
              <w:keepLines w:val="0"/>
              <w:suppressLineNumbers w:val="0"/>
              <w:spacing w:before="0" w:beforeAutospacing="0" w:after="0" w:afterAutospacing="0"/>
              <w:ind w:left="0" w:right="0"/>
              <w:jc w:val="center"/>
              <w:rPr>
                <w:rFonts w:hint="default" w:ascii="宋体" w:hAnsi="宋体" w:cs="Courier New"/>
                <w:snapToGrid w:val="0"/>
                <w:szCs w:val="21"/>
              </w:rPr>
            </w:pPr>
          </w:p>
        </w:tc>
        <w:tc>
          <w:tcPr>
            <w:tcW w:w="851"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567"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308"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544"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26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c>
          <w:tcPr>
            <w:tcW w:w="1620" w:type="dxa"/>
          </w:tcPr>
          <w:p>
            <w:pPr>
              <w:keepNext w:val="0"/>
              <w:keepLines w:val="0"/>
              <w:suppressLineNumbers w:val="0"/>
              <w:spacing w:before="0" w:beforeAutospacing="0" w:after="0" w:afterAutospacing="0"/>
              <w:ind w:left="0" w:right="0"/>
              <w:rPr>
                <w:rFonts w:hint="default"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
    <w:p/>
    <w:p>
      <w:pPr>
        <w:pStyle w:val="3"/>
        <w:tabs>
          <w:tab w:val="left" w:pos="371"/>
        </w:tabs>
        <w:spacing w:before="120" w:after="120"/>
        <w:ind w:left="-1" w:leftChars="-1" w:hanging="1"/>
        <w:jc w:val="center"/>
        <w:rPr>
          <w:rFonts w:asciiTheme="minorEastAsia" w:hAnsiTheme="minorEastAsia" w:eastAsiaTheme="minorEastAsia"/>
        </w:rPr>
      </w:pPr>
      <w:bookmarkStart w:id="76" w:name="_Toc135293189"/>
      <w:r>
        <w:rPr>
          <w:rFonts w:asciiTheme="minorEastAsia" w:hAnsiTheme="minorEastAsia" w:eastAsiaTheme="minorEastAsia"/>
        </w:rPr>
        <w:t>格式</w:t>
      </w:r>
      <w:r>
        <w:rPr>
          <w:rFonts w:hint="eastAsia" w:asciiTheme="minorEastAsia" w:hAnsiTheme="minorEastAsia" w:eastAsiaTheme="minorEastAsia"/>
        </w:rPr>
        <w:t>8</w:t>
      </w:r>
      <w:r>
        <w:rPr>
          <w:rFonts w:asciiTheme="minorEastAsia" w:hAnsiTheme="minorEastAsia" w:eastAsiaTheme="minorEastAsia"/>
        </w:rPr>
        <w:t xml:space="preserve">  </w:t>
      </w:r>
      <w:r>
        <w:rPr>
          <w:rFonts w:hint="eastAsia" w:asciiTheme="minorEastAsia" w:hAnsiTheme="minorEastAsia" w:eastAsiaTheme="minorEastAsia"/>
        </w:rPr>
        <w:t>投标人情况介绍</w:t>
      </w:r>
      <w:bookmarkEnd w:id="76"/>
    </w:p>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rPr>
          <w:rFonts w:ascii="宋体" w:hAnsi="宋体"/>
          <w:sz w:val="28"/>
        </w:rPr>
      </w:pPr>
    </w:p>
    <w:p/>
    <w:p/>
    <w:p/>
    <w:p/>
    <w:p/>
    <w:p/>
    <w:p/>
    <w:p/>
    <w:p/>
    <w:p/>
    <w:p/>
    <w:p/>
    <w:p/>
    <w:p/>
    <w:p/>
    <w:p/>
    <w:p/>
    <w:p/>
    <w:p/>
    <w:p/>
    <w:p/>
    <w:p/>
    <w:p/>
    <w:p/>
    <w:p/>
    <w:p/>
    <w:p/>
    <w:p/>
    <w:p/>
    <w:p/>
    <w:p/>
    <w:p/>
    <w:p/>
    <w:p/>
    <w:p>
      <w:pPr>
        <w:pStyle w:val="3"/>
        <w:tabs>
          <w:tab w:val="left" w:pos="371"/>
        </w:tabs>
        <w:spacing w:before="120" w:after="120"/>
        <w:ind w:left="-1" w:leftChars="-1" w:hanging="1"/>
        <w:jc w:val="center"/>
        <w:rPr>
          <w:rFonts w:asciiTheme="minorEastAsia" w:hAnsiTheme="minorEastAsia" w:eastAsiaTheme="minorEastAsia"/>
        </w:rPr>
      </w:pPr>
      <w:bookmarkStart w:id="77" w:name="_Toc44691168"/>
      <w:bookmarkStart w:id="78" w:name="_Toc44690709"/>
      <w:bookmarkStart w:id="79" w:name="_Toc135293190"/>
      <w:bookmarkStart w:id="80" w:name="_Toc44691400"/>
      <w:bookmarkStart w:id="81" w:name="_Toc44690436"/>
      <w:r>
        <w:rPr>
          <w:rFonts w:hint="eastAsia" w:asciiTheme="minorEastAsia" w:hAnsiTheme="minorEastAsia" w:eastAsiaTheme="minorEastAsia"/>
        </w:rPr>
        <w:t>格式9  偏离表</w:t>
      </w:r>
      <w:bookmarkEnd w:id="77"/>
      <w:bookmarkEnd w:id="78"/>
      <w:bookmarkEnd w:id="79"/>
      <w:bookmarkEnd w:id="80"/>
      <w:bookmarkEnd w:id="81"/>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keepNext w:val="0"/>
              <w:keepLines w:val="0"/>
              <w:suppressLineNumbers w:val="0"/>
              <w:spacing w:before="0" w:beforeAutospacing="0" w:after="0" w:afterAutospacing="0"/>
              <w:ind w:left="0" w:right="0"/>
              <w:rPr>
                <w:rFonts w:hint="default" w:ascii="宋体" w:hAnsi="宋体"/>
                <w:szCs w:val="21"/>
              </w:rPr>
            </w:pPr>
            <w:r>
              <w:rPr>
                <w:rFonts w:hint="eastAsia" w:ascii="宋体" w:hAnsi="宋体"/>
                <w:szCs w:val="21"/>
              </w:rPr>
              <w:t>序号</w:t>
            </w:r>
          </w:p>
        </w:tc>
        <w:tc>
          <w:tcPr>
            <w:tcW w:w="2010"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szCs w:val="21"/>
              </w:rPr>
              <w:t>招标项目需求</w:t>
            </w:r>
          </w:p>
        </w:tc>
        <w:tc>
          <w:tcPr>
            <w:tcW w:w="3544"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szCs w:val="21"/>
              </w:rPr>
              <w:t>投标文件响应</w:t>
            </w:r>
          </w:p>
        </w:tc>
        <w:tc>
          <w:tcPr>
            <w:tcW w:w="1984"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szCs w:val="21"/>
              </w:rPr>
              <w:t>偏离情况</w:t>
            </w:r>
          </w:p>
        </w:tc>
        <w:tc>
          <w:tcPr>
            <w:tcW w:w="1974"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keepNext w:val="0"/>
              <w:keepLines w:val="0"/>
              <w:suppressLineNumbers w:val="0"/>
              <w:spacing w:before="0" w:beforeAutospacing="0" w:after="0" w:afterAutospacing="0"/>
              <w:ind w:left="137" w:leftChars="1" w:right="0" w:hanging="135" w:hangingChars="64"/>
              <w:jc w:val="center"/>
              <w:rPr>
                <w:rFonts w:hint="default"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szCs w:val="21"/>
              </w:rPr>
              <w:t>1</w:t>
            </w:r>
          </w:p>
        </w:tc>
        <w:tc>
          <w:tcPr>
            <w:tcW w:w="2010" w:type="dxa"/>
            <w:vAlign w:val="center"/>
          </w:tcPr>
          <w:p>
            <w:pPr>
              <w:keepNext w:val="0"/>
              <w:keepLines w:val="0"/>
              <w:suppressLineNumbers w:val="0"/>
              <w:spacing w:before="0" w:beforeAutospacing="0" w:after="0" w:afterAutospacing="0"/>
              <w:ind w:left="0" w:right="0"/>
              <w:rPr>
                <w:rFonts w:hint="default"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keepNext w:val="0"/>
              <w:keepLines w:val="0"/>
              <w:suppressLineNumbers w:val="0"/>
              <w:spacing w:before="0" w:beforeAutospacing="0" w:after="0" w:afterAutospacing="0"/>
              <w:ind w:left="0" w:right="0"/>
              <w:rPr>
                <w:rFonts w:hint="default"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p>
        </w:tc>
        <w:tc>
          <w:tcPr>
            <w:tcW w:w="1974" w:type="dxa"/>
            <w:vAlign w:val="center"/>
          </w:tcPr>
          <w:p>
            <w:pPr>
              <w:keepNext w:val="0"/>
              <w:keepLines w:val="0"/>
              <w:suppressLineNumbers w:val="0"/>
              <w:spacing w:before="0" w:beforeAutospacing="0" w:after="0" w:afterAutospacing="0"/>
              <w:ind w:left="2" w:right="0"/>
              <w:rPr>
                <w:rFonts w:hint="default"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keepNext w:val="0"/>
              <w:keepLines w:val="0"/>
              <w:suppressLineNumbers w:val="0"/>
              <w:spacing w:before="0" w:beforeAutospacing="0" w:after="0" w:afterAutospacing="0"/>
              <w:ind w:left="0" w:right="0"/>
              <w:jc w:val="center"/>
              <w:rPr>
                <w:rFonts w:hint="default" w:ascii="宋体" w:hAnsi="宋体"/>
                <w:szCs w:val="21"/>
              </w:rPr>
            </w:pPr>
            <w:r>
              <w:rPr>
                <w:rFonts w:hint="eastAsia" w:ascii="宋体" w:hAnsi="宋体"/>
              </w:rPr>
              <w:t>1</w:t>
            </w:r>
          </w:p>
        </w:tc>
        <w:tc>
          <w:tcPr>
            <w:tcW w:w="2010" w:type="dxa"/>
            <w:vAlign w:val="center"/>
          </w:tcPr>
          <w:p>
            <w:pPr>
              <w:keepNext w:val="0"/>
              <w:keepLines w:val="0"/>
              <w:suppressLineNumbers w:val="0"/>
              <w:spacing w:before="0" w:beforeAutospacing="0" w:after="0" w:afterAutospacing="0"/>
              <w:ind w:left="0" w:right="0"/>
              <w:rPr>
                <w:rFonts w:hint="default"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keepNext w:val="0"/>
              <w:keepLines w:val="0"/>
              <w:suppressLineNumbers w:val="0"/>
              <w:spacing w:before="0" w:beforeAutospacing="0" w:after="0" w:afterAutospacing="0"/>
              <w:ind w:left="0" w:right="0"/>
              <w:jc w:val="left"/>
              <w:rPr>
                <w:rFonts w:hint="default"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keepNext w:val="0"/>
              <w:keepLines w:val="0"/>
              <w:suppressLineNumbers w:val="0"/>
              <w:spacing w:before="0" w:beforeAutospacing="0" w:after="0" w:afterAutospacing="0"/>
              <w:ind w:left="0" w:right="0"/>
              <w:jc w:val="left"/>
              <w:rPr>
                <w:rFonts w:hint="default"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keepNext w:val="0"/>
              <w:keepLines w:val="0"/>
              <w:suppressLineNumbers w:val="0"/>
              <w:spacing w:before="0" w:beforeAutospacing="0" w:after="0" w:afterAutospacing="0"/>
              <w:ind w:left="136" w:leftChars="65" w:right="0"/>
              <w:jc w:val="center"/>
              <w:rPr>
                <w:rFonts w:hint="default" w:ascii="宋体" w:hAnsi="宋体"/>
                <w:szCs w:val="21"/>
              </w:rPr>
            </w:pPr>
          </w:p>
        </w:tc>
        <w:tc>
          <w:tcPr>
            <w:tcW w:w="1974" w:type="dxa"/>
            <w:vAlign w:val="center"/>
          </w:tcPr>
          <w:p>
            <w:pPr>
              <w:keepNext w:val="0"/>
              <w:keepLines w:val="0"/>
              <w:suppressLineNumbers w:val="0"/>
              <w:spacing w:before="0" w:beforeAutospacing="0" w:after="0" w:afterAutospacing="0"/>
              <w:ind w:left="57" w:leftChars="27" w:right="0"/>
              <w:rPr>
                <w:rFonts w:hint="default"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法定代表人或其授权代表：（签字）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3"/>
        <w:tabs>
          <w:tab w:val="left" w:pos="371"/>
        </w:tabs>
        <w:spacing w:before="120" w:after="120"/>
        <w:ind w:left="-1" w:leftChars="-1" w:hanging="1"/>
        <w:jc w:val="center"/>
        <w:rPr>
          <w:rFonts w:asciiTheme="minorEastAsia" w:hAnsiTheme="minorEastAsia" w:eastAsiaTheme="minorEastAsia"/>
        </w:rPr>
      </w:pPr>
      <w:bookmarkStart w:id="82" w:name="q17"/>
      <w:bookmarkEnd w:id="82"/>
      <w:bookmarkStart w:id="83" w:name="q15"/>
      <w:bookmarkEnd w:id="83"/>
      <w:bookmarkStart w:id="84" w:name="_格式4__"/>
      <w:bookmarkEnd w:id="84"/>
      <w:bookmarkStart w:id="85" w:name="_格式5__"/>
      <w:bookmarkEnd w:id="85"/>
      <w:bookmarkStart w:id="86" w:name="_格式2__投标保证金凭证"/>
      <w:bookmarkEnd w:id="86"/>
      <w:bookmarkStart w:id="87" w:name="_格式3__"/>
      <w:bookmarkEnd w:id="87"/>
      <w:bookmarkStart w:id="88" w:name="q16"/>
      <w:bookmarkEnd w:id="88"/>
      <w:r>
        <w:rPr>
          <w:rFonts w:asciiTheme="minorEastAsia" w:hAnsiTheme="minorEastAsia" w:eastAsiaTheme="minorEastAsia"/>
        </w:rPr>
        <w:tab/>
      </w:r>
      <w:bookmarkStart w:id="89" w:name="_Toc44691401"/>
      <w:bookmarkStart w:id="90" w:name="_Toc44691169"/>
      <w:bookmarkStart w:id="91" w:name="_Toc44690710"/>
      <w:bookmarkStart w:id="92" w:name="_Toc44690437"/>
      <w:bookmarkStart w:id="93" w:name="_Toc135293191"/>
      <w:r>
        <w:rPr>
          <w:rFonts w:hint="eastAsia" w:asciiTheme="minorEastAsia" w:hAnsiTheme="minorEastAsia" w:eastAsiaTheme="minorEastAsia"/>
        </w:rPr>
        <w:t xml:space="preserve">格式10  </w:t>
      </w:r>
      <w:bookmarkEnd w:id="89"/>
      <w:bookmarkEnd w:id="90"/>
      <w:bookmarkEnd w:id="91"/>
      <w:bookmarkEnd w:id="92"/>
      <w:r>
        <w:rPr>
          <w:rFonts w:hint="eastAsia" w:asciiTheme="minorEastAsia" w:hAnsiTheme="minorEastAsia" w:eastAsiaTheme="minorEastAsia"/>
        </w:rPr>
        <w:t>招标文件要求的其他资料或投标人认为需要补充的资料</w:t>
      </w:r>
      <w:bookmarkEnd w:id="93"/>
    </w:p>
    <w:p>
      <w:pPr>
        <w:spacing w:line="360" w:lineRule="auto"/>
        <w:jc w:val="center"/>
      </w:pPr>
    </w:p>
    <w:p>
      <w:pPr>
        <w:widowControl/>
        <w:snapToGrid w:val="0"/>
        <w:spacing w:line="360" w:lineRule="auto"/>
        <w:jc w:val="left"/>
        <w:outlineLvl w:val="3"/>
        <w:rPr>
          <w:rFonts w:ascii="仿宋" w:hAnsi="仿宋" w:eastAsia="仿宋"/>
          <w:b/>
          <w:bCs/>
          <w:color w:val="FF0000"/>
          <w:kern w:val="0"/>
          <w:sz w:val="25"/>
          <w:szCs w:val="25"/>
        </w:rPr>
      </w:pPr>
      <w:r>
        <w:rPr>
          <w:rFonts w:hint="eastAsia" w:ascii="仿宋" w:hAnsi="仿宋" w:eastAsia="仿宋"/>
          <w:b/>
          <w:bCs/>
          <w:color w:val="FF0000"/>
          <w:kern w:val="0"/>
          <w:sz w:val="25"/>
          <w:szCs w:val="25"/>
        </w:rPr>
        <w:t>特别提醒：</w:t>
      </w:r>
    </w:p>
    <w:p>
      <w:pPr>
        <w:widowControl/>
        <w:snapToGrid w:val="0"/>
        <w:spacing w:line="360" w:lineRule="auto"/>
        <w:jc w:val="left"/>
        <w:rPr>
          <w:rFonts w:ascii="宋体" w:hAnsi="宋体"/>
          <w:color w:val="FF0000"/>
          <w:szCs w:val="21"/>
        </w:rPr>
      </w:pPr>
      <w:r>
        <w:rPr>
          <w:rFonts w:hint="eastAsia" w:ascii="仿宋" w:hAnsi="仿宋" w:eastAsia="仿宋"/>
          <w:color w:val="FF0000"/>
          <w:kern w:val="0"/>
          <w:sz w:val="25"/>
          <w:szCs w:val="25"/>
        </w:rPr>
        <w:t xml:space="preserve">  </w:t>
      </w:r>
      <w:r>
        <w:rPr>
          <w:rFonts w:hint="eastAsia" w:asciiTheme="minorEastAsia" w:hAnsiTheme="minorEastAsia" w:eastAsiaTheme="minorEastAsia"/>
          <w:color w:val="FF0000"/>
          <w:kern w:val="0"/>
          <w:szCs w:val="21"/>
        </w:rPr>
        <w:t xml:space="preserve">  《深圳经济特区政府采购条例实施细则》</w:t>
      </w:r>
      <w:r>
        <w:rPr>
          <w:rFonts w:hint="eastAsia" w:ascii="宋体" w:hAnsi="宋体"/>
          <w:color w:val="FF0000"/>
          <w:szCs w:val="21"/>
        </w:rPr>
        <w:t>第七十五条规定：供应商有下列情形的，属于采购条例所称的串通投标行为。</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（一）投标供应商之间相互约定给予未中标的供应商利益补偿；</w:t>
      </w:r>
    </w:p>
    <w:p>
      <w:pPr>
        <w:widowControl/>
        <w:snapToGrid w:val="0"/>
        <w:spacing w:line="360" w:lineRule="auto"/>
        <w:ind w:firstLine="426" w:firstLineChars="202"/>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（二）不同投标供应商的法定代表人、主要经营负责人、项目投标授权代表人、项目负责人、主要技术人员为同一人、属同一单位或者在同一单位缴纳社会保险；</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（三）不同投标供应商的投标文件由同一单位或者同一人编制，或者由同一人分阶段参与编制的；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（四）不同投标供应商的投标文件或部分投标文件相互混装；</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（五）不同投标供应商的投标文件内容存在非正常一致；</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（六）由同一单位工作人员为两家以上（含两家）供应商进行同一项投标活动的；</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（七）主管部门依照法律、法规认定的其他情形。</w:t>
      </w:r>
    </w:p>
    <w:p>
      <w:pPr>
        <w:widowControl/>
        <w:snapToGrid w:val="0"/>
        <w:spacing w:line="360" w:lineRule="auto"/>
        <w:jc w:val="left"/>
        <w:rPr>
          <w:rFonts w:asciiTheme="minorEastAsia" w:hAnsiTheme="minorEastAsia" w:eastAsiaTheme="minorEastAsia"/>
          <w:color w:val="FF0000"/>
          <w:kern w:val="0"/>
          <w:szCs w:val="21"/>
        </w:rPr>
      </w:pPr>
    </w:p>
    <w:p>
      <w:pPr>
        <w:widowControl/>
        <w:snapToGrid w:val="0"/>
        <w:spacing w:line="360" w:lineRule="auto"/>
        <w:jc w:val="left"/>
        <w:rPr>
          <w:rFonts w:asciiTheme="minorEastAsia" w:hAnsiTheme="minorEastAsia" w:eastAsiaTheme="minorEastAsia"/>
          <w:b/>
          <w:color w:val="FF0000"/>
          <w:kern w:val="0"/>
          <w:szCs w:val="21"/>
        </w:rPr>
      </w:pPr>
      <w:r>
        <w:rPr>
          <w:rFonts w:hint="eastAsia" w:asciiTheme="minorEastAsia" w:hAnsiTheme="minorEastAsia" w:eastAsiaTheme="minorEastAsia"/>
          <w:b/>
          <w:color w:val="FF0000"/>
          <w:kern w:val="0"/>
          <w:szCs w:val="21"/>
        </w:rPr>
        <w:t>投标人提供以下资料（格式自拟）：</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1、投标单位法定代表人、主要经营负责人、项目投标授权代表人、项目负责人及主要技术人员近一年社保缴纳查询记录（包含在投标单位及其他缴纳社保单位的记录）；社保缴纳不满一年的按实际缴纳情况提供（因社保部门或税务部门原因暂时无法提供社保证明的，需提供加盖公章的情况说明或者证明材料。）</w:t>
      </w:r>
    </w:p>
    <w:p>
      <w:pPr>
        <w:widowControl/>
        <w:snapToGrid w:val="0"/>
        <w:spacing w:line="360" w:lineRule="auto"/>
        <w:ind w:firstLine="424" w:firstLineChars="202"/>
        <w:jc w:val="left"/>
        <w:rPr>
          <w:rFonts w:asciiTheme="minorEastAsia" w:hAnsiTheme="minorEastAsia" w:eastAsiaTheme="minorEastAsia"/>
          <w:color w:val="FF0000"/>
          <w:kern w:val="0"/>
          <w:szCs w:val="21"/>
        </w:rPr>
      </w:pPr>
      <w:r>
        <w:rPr>
          <w:rFonts w:hint="eastAsia" w:asciiTheme="minorEastAsia" w:hAnsiTheme="minorEastAsia" w:eastAsiaTheme="minorEastAsia"/>
          <w:color w:val="FF0000"/>
          <w:kern w:val="0"/>
          <w:szCs w:val="21"/>
        </w:rPr>
        <w:t>2、其他招标文件要求提供的资料或投标人认为需要补充的资料。</w:t>
      </w:r>
    </w:p>
    <w:p>
      <w:pPr>
        <w:jc w:val="left"/>
        <w:rPr>
          <w:snapToGrid w:val="0"/>
          <w:kern w:val="0"/>
          <w:sz w:val="52"/>
          <w:szCs w:val="52"/>
        </w:rPr>
      </w:pPr>
    </w:p>
    <w:p/>
    <w:p/>
    <w:p/>
    <w:p/>
    <w:p/>
    <w:p/>
    <w:p/>
    <w:p/>
    <w:p/>
    <w:p/>
    <w:p/>
    <w:p/>
    <w:p/>
    <w:p>
      <w:pPr>
        <w:tabs>
          <w:tab w:val="left" w:pos="1875"/>
        </w:tabs>
      </w:pPr>
    </w:p>
    <w:p>
      <w:pPr>
        <w:widowControl/>
        <w:jc w:val="left"/>
        <w:rPr>
          <w:rFonts w:eastAsiaTheme="minorEastAsia"/>
          <w:b/>
          <w:kern w:val="44"/>
          <w:sz w:val="44"/>
          <w:szCs w:val="28"/>
        </w:rPr>
      </w:pPr>
    </w:p>
    <w:p/>
    <w:p>
      <w:pPr>
        <w:pStyle w:val="2"/>
      </w:pPr>
      <w:bookmarkStart w:id="94" w:name="_Toc135293192"/>
      <w:r>
        <w:rPr>
          <w:rFonts w:hint="eastAsia"/>
        </w:rPr>
        <w:t>第八章  合同条款</w:t>
      </w:r>
      <w:bookmarkEnd w:id="9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spacing w:line="360" w:lineRule="auto"/>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2"/>
      </w:pPr>
      <w:bookmarkStart w:id="95" w:name="_Toc73610161"/>
      <w:bookmarkStart w:id="96" w:name="_Toc135293193"/>
      <w:r>
        <w:rPr>
          <w:rFonts w:hint="eastAsia"/>
        </w:rPr>
        <w:t>第九章  附件</w:t>
      </w:r>
      <w:bookmarkEnd w:id="95"/>
      <w:bookmarkEnd w:id="96"/>
    </w:p>
    <w:p>
      <w:pPr>
        <w:pStyle w:val="4"/>
        <w:spacing w:before="0" w:after="0"/>
      </w:pPr>
      <w:bookmarkStart w:id="97" w:name="_Toc73610162"/>
      <w:bookmarkStart w:id="98" w:name="_Toc73613644"/>
      <w:bookmarkStart w:id="99" w:name="_Toc135293194"/>
      <w:r>
        <w:rPr>
          <w:rFonts w:hint="eastAsia"/>
        </w:rPr>
        <w:t>一、财政部 工业和信息化部关于印发《政府采购促进中小企业发展管理办法》的通知</w:t>
      </w:r>
      <w:bookmarkEnd w:id="97"/>
      <w:bookmarkEnd w:id="98"/>
      <w:bookmarkEnd w:id="99"/>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财库〔2020〕46号</w:t>
      </w: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各中央预算单位办公厅（室），各省、自治区、直辖市、计划单列市财政厅（局）、工业和信息化主管部门，新疆生产建设兵团财政局、工业和信息化主管部门：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附件：政府采购促进中小企业发展管理办法</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财　　政　　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工业和信息化部</w:t>
      </w:r>
    </w:p>
    <w:p>
      <w:pPr>
        <w:widowControl/>
        <w:shd w:val="clear" w:color="auto" w:fill="FFFFFF"/>
        <w:spacing w:line="360" w:lineRule="auto"/>
        <w:jc w:val="right"/>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2020年12月18日</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附件</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jc w:val="center"/>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政府采购促进中小企业发展管理办法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第一条</w:t>
      </w:r>
      <w:r>
        <w:rPr>
          <w:rFonts w:hint="eastAsia" w:cs="宋体" w:asciiTheme="minorEastAsia" w:hAnsiTheme="minorEastAsia" w:eastAsiaTheme="minorEastAsia"/>
          <w:color w:val="333333"/>
          <w:kern w:val="0"/>
          <w:szCs w:val="21"/>
        </w:rPr>
        <w:t>　为了发挥政府采购的政策功能，促进中小企业健康发展，根据《中华人民共和国政府采购法》、《中华人民共和国中小企业促进法》等有关法律法规，制定本办法。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第二条</w:t>
      </w:r>
      <w:r>
        <w:rPr>
          <w:rFonts w:hint="eastAsia" w:cs="宋体" w:asciiTheme="minorEastAsia" w:hAnsiTheme="minorEastAsia" w:eastAsiaTheme="minorEastAsia"/>
          <w:color w:val="333333"/>
          <w:kern w:val="0"/>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符合中小企业划分标准的个体工商户，在政府采购活动中视同中小企业。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第三条</w:t>
      </w:r>
      <w:r>
        <w:rPr>
          <w:rFonts w:hint="eastAsia" w:cs="宋体" w:asciiTheme="minorEastAsia" w:hAnsiTheme="minorEastAsia" w:eastAsiaTheme="minorEastAsia"/>
          <w:color w:val="333333"/>
          <w:kern w:val="0"/>
          <w:szCs w:val="21"/>
        </w:rPr>
        <w:t>　采购人在政府采购活动中应当通过加强采购需求管理，落实预留采购份额、价格评审优惠、优先采购等措施，提高中小企业在政府采购中的份额，支持中小企业发展。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第四条</w:t>
      </w:r>
      <w:r>
        <w:rPr>
          <w:rFonts w:hint="eastAsia" w:cs="宋体" w:asciiTheme="minorEastAsia" w:hAnsiTheme="minorEastAsia" w:eastAsiaTheme="minorEastAsia"/>
          <w:color w:val="333333"/>
          <w:kern w:val="0"/>
          <w:szCs w:val="21"/>
        </w:rPr>
        <w:t>　在政府采购活动中，供应商提供的货物、工程或者服务符合下列情形的，享受本办法规定的中小企业扶持政策：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（一）在货物采购项目中，货物由中小企业制造，即货物由中小企业生产且使用该中小企业商号或者注册商标；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（二）在工程采购项目中，工程由中小企业承建，即工程施工单位为中小企业；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（三）在服务采购项目中，服务由中小企业承接，即提供服务的人员为中小企业依照《中华人民共和国劳动合同法》订立劳动合同的从业人员。</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在货物采购项目中，供应商提供的货物既有中小企业制造货物，也有大型企业制造货物的，不享受本办法规定的中小企业扶持政策。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以联合体形式参加政府采购活动，联合体各方均为中小企业的，联合体视同中小企业。其中，联合体各方均为小微企业的，联合体视同小微企业。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第五条</w:t>
      </w:r>
      <w:r>
        <w:rPr>
          <w:rFonts w:hint="eastAsia" w:cs="宋体" w:asciiTheme="minorEastAsia" w:hAnsiTheme="minorEastAsia" w:eastAsiaTheme="minorEastAsia"/>
          <w:color w:val="333333"/>
          <w:kern w:val="0"/>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第六条</w:t>
      </w:r>
      <w:r>
        <w:rPr>
          <w:rFonts w:hint="eastAsia" w:cs="宋体" w:asciiTheme="minorEastAsia" w:hAnsiTheme="minorEastAsia" w:eastAsiaTheme="minorEastAsia"/>
          <w:color w:val="333333"/>
          <w:kern w:val="0"/>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符合下列情形之一的，可不专门面向中小企业预留采购份额：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（一）法律法规和国家有关政策明确规定优先或者应当面向事业单位、社会组织等非企业主体采购的；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（二）因确需使用不可替代的专利、专有技术，基础设施限制，或者提供特定公共服务等原因，只能从中小企业之外的供应商处采购的；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（三）按照本办法规定预留采购份额无法确保充分供应、充分竞争，或者存在可能影响政府采购目标实现的情形；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（四）框架协议采购项目；</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（五）省级以上人民政府财政部门规定的其他情形。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除上述情形外，其他均为适宜由中小企业提供的情形。</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第七条</w:t>
      </w:r>
      <w:r>
        <w:rPr>
          <w:rFonts w:hint="eastAsia" w:cs="宋体" w:asciiTheme="minorEastAsia" w:hAnsiTheme="minorEastAsia" w:eastAsiaTheme="minorEastAsia"/>
          <w:color w:val="333333"/>
          <w:kern w:val="0"/>
          <w:szCs w:val="21"/>
        </w:rPr>
        <w:t>　采购限额标准以上，200万元以下的货物和服务采购项目、400万元以下的工程采购项目，适宜由中小企业提供的，采购人应当专门面向中小企业采购。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第八条</w:t>
      </w:r>
      <w:r>
        <w:rPr>
          <w:rFonts w:hint="eastAsia" w:cs="宋体" w:asciiTheme="minorEastAsia" w:hAnsiTheme="minorEastAsia" w:eastAsiaTheme="minorEastAsia"/>
          <w:color w:val="333333"/>
          <w:kern w:val="0"/>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（一）将采购项目整体或者设置采购包专门面向中小企业采购；</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（二）要求供应商以联合体形式参加采购活动，且联合体中中小企业承担的部分达到一定比例；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（三）要求获得采购合同的供应商将采购项目中的一定比例分包给一家或者多家中小企业。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组成联合体或者接受分包合同的中小企业与联合体内其他企业、分包企业之间不得存在直接控股、管理关系。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第九条</w:t>
      </w:r>
      <w:r>
        <w:rPr>
          <w:rFonts w:hint="eastAsia" w:cs="宋体" w:asciiTheme="minorEastAsia" w:hAnsiTheme="minorEastAsia" w:eastAsiaTheme="minorEastAsia"/>
          <w:color w:val="333333"/>
          <w:kern w:val="0"/>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第十条</w:t>
      </w:r>
      <w:r>
        <w:rPr>
          <w:rFonts w:hint="eastAsia" w:cs="宋体" w:asciiTheme="minorEastAsia" w:hAnsiTheme="minorEastAsia" w:eastAsiaTheme="minorEastAsia"/>
          <w:color w:val="333333"/>
          <w:kern w:val="0"/>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第十一条</w:t>
      </w:r>
      <w:r>
        <w:rPr>
          <w:rFonts w:hint="eastAsia" w:cs="宋体" w:asciiTheme="minorEastAsia" w:hAnsiTheme="minorEastAsia" w:eastAsiaTheme="minorEastAsia"/>
          <w:color w:val="333333"/>
          <w:kern w:val="0"/>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第十二条</w:t>
      </w:r>
      <w:r>
        <w:rPr>
          <w:rFonts w:hint="eastAsia" w:cs="宋体" w:asciiTheme="minorEastAsia" w:hAnsiTheme="minorEastAsia" w:eastAsiaTheme="minorEastAsia"/>
          <w:color w:val="333333"/>
          <w:kern w:val="0"/>
          <w:szCs w:val="21"/>
        </w:rPr>
        <w:t>　采购项目涉及中小企业采购的，采购文件应当明确以下内容：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（一）预留份额的采购项目或者采购包，明确该项目或相关采购包专门面向中小企业采购，以及相关标的及预算金额；</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（二）要求以联合体形式参加或者合同分包的，明确联合协议或者分包意向协议中中小企业合同金额应当达到的比例，并作为供应商资格条件；</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（三）非预留份额的采购项目或者采购包，明确有关价格扣除比例或者价格分加分比例；</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（四）规定依据本办法规定享受扶持政策获得政府采购合同的，小微企业不得将合同分包给大中型企业，中型企业不得将合同分包给大型企业；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（五）采购人认为具备相关条件的，明确对中小企业在资金支付期限、预付款比例等方面的优惠措施；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（六）明确采购标的对应的中小企业划分标准所属行业；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（七）法律法规和省级以上人民政府财政部门规定的其他事项。</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第十三条</w:t>
      </w:r>
      <w:r>
        <w:rPr>
          <w:rFonts w:hint="eastAsia" w:cs="宋体" w:asciiTheme="minorEastAsia" w:hAnsiTheme="minorEastAsia" w:eastAsiaTheme="minorEastAsia"/>
          <w:color w:val="333333"/>
          <w:kern w:val="0"/>
          <w:szCs w:val="21"/>
        </w:rPr>
        <w:t>　中标、成交供应商享受本办法规定的中小企业扶持政策的，采购人、采购代理机构应当随中标、成交结果公开中标、成交供应商的《中小企业声明函》。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适用招标投标法的政府采购工程建设项目，应当在公示中标候选人时公开中标候选人的《中小企业声明函》。</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第十四条</w:t>
      </w:r>
      <w:r>
        <w:rPr>
          <w:rFonts w:hint="eastAsia" w:cs="宋体" w:asciiTheme="minorEastAsia" w:hAnsiTheme="minorEastAsia" w:eastAsiaTheme="minorEastAsia"/>
          <w:color w:val="333333"/>
          <w:kern w:val="0"/>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第十五条</w:t>
      </w:r>
      <w:r>
        <w:rPr>
          <w:rFonts w:hint="eastAsia" w:cs="宋体" w:asciiTheme="minorEastAsia" w:hAnsiTheme="minorEastAsia" w:eastAsiaTheme="minorEastAsia"/>
          <w:color w:val="333333"/>
          <w:kern w:val="0"/>
          <w:szCs w:val="21"/>
        </w:rPr>
        <w:t>　鼓励各地区、各部门在采购活动中允许中小企业引入信用担保手段，为中小企业在投标（响应）保证、履约保证等方面提供专业化服务。鼓励中小企业依法合规通过政府采购合同融资。</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第十六条</w:t>
      </w:r>
      <w:r>
        <w:rPr>
          <w:rFonts w:hint="eastAsia" w:cs="宋体" w:asciiTheme="minorEastAsia" w:hAnsiTheme="minorEastAsia" w:eastAsiaTheme="minorEastAsia"/>
          <w:color w:val="333333"/>
          <w:kern w:val="0"/>
          <w:szCs w:val="21"/>
        </w:rPr>
        <w:t>　政府采购监督检查、投诉处理及政府采购行政处罚中对中小企业的认定，由货物制造商或者工程、服务供应商注册登记所在地的县级以上人民政府中小企业主管部门负责。</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中小企业主管部门应当在收到财政部门或者有关招标投标行政监督部门关于协助开展中小企业认定函后10个工作日内做出书面答复。</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第十七条</w:t>
      </w:r>
      <w:r>
        <w:rPr>
          <w:rFonts w:hint="eastAsia" w:cs="宋体" w:asciiTheme="minorEastAsia" w:hAnsiTheme="minorEastAsia" w:eastAsiaTheme="minorEastAsia"/>
          <w:color w:val="333333"/>
          <w:kern w:val="0"/>
          <w:szCs w:val="21"/>
        </w:rPr>
        <w:t>　各地区、各部门应当对涉及中小企业采购的预算项目实施全过程绩效管理，合理设置绩效目标和指标，落实扶持中小企业有关政策要求，定期开展绩效监控和评价，强化绩效评价结果应用。</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第十八条</w:t>
      </w:r>
      <w:r>
        <w:rPr>
          <w:rFonts w:hint="eastAsia" w:cs="宋体" w:asciiTheme="minorEastAsia" w:hAnsiTheme="minorEastAsia" w:eastAsiaTheme="minorEastAsia"/>
          <w:color w:val="333333"/>
          <w:kern w:val="0"/>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第十九条</w:t>
      </w:r>
      <w:r>
        <w:rPr>
          <w:rFonts w:hint="eastAsia" w:cs="宋体" w:asciiTheme="minorEastAsia" w:hAnsiTheme="minorEastAsia" w:eastAsiaTheme="minorEastAsia"/>
          <w:color w:val="333333"/>
          <w:kern w:val="0"/>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第二十条</w:t>
      </w:r>
      <w:r>
        <w:rPr>
          <w:rFonts w:hint="eastAsia" w:cs="宋体" w:asciiTheme="minorEastAsia" w:hAnsiTheme="minorEastAsia" w:eastAsiaTheme="minorEastAsia"/>
          <w:color w:val="333333"/>
          <w:kern w:val="0"/>
          <w:szCs w:val="21"/>
        </w:rPr>
        <w:t>　供应商按照本办法规定提供声明函内容不实的，属于提供虚假材料谋取中标、成交，依照《中华人民共和国政府采购法》等国家有关规定追究相应责任。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color w:val="333333"/>
          <w:kern w:val="0"/>
          <w:szCs w:val="21"/>
        </w:rPr>
        <w:t>适用招标投标法的政府采购工程建设项目，投标人按照本办法规定提供声明函内容不实的，属于弄虚作假骗取中标，依照《中华人民共和国招标投标法》等国家有关规定追究相应责任。</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第二十一条</w:t>
      </w:r>
      <w:r>
        <w:rPr>
          <w:rFonts w:hint="eastAsia" w:cs="宋体" w:asciiTheme="minorEastAsia" w:hAnsiTheme="minorEastAsia" w:eastAsiaTheme="minorEastAsia"/>
          <w:color w:val="333333"/>
          <w:kern w:val="0"/>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第二十二条</w:t>
      </w:r>
      <w:r>
        <w:rPr>
          <w:rFonts w:hint="eastAsia" w:cs="宋体" w:asciiTheme="minorEastAsia" w:hAnsiTheme="minorEastAsia" w:eastAsiaTheme="minorEastAsia"/>
          <w:color w:val="333333"/>
          <w:kern w:val="0"/>
          <w:szCs w:val="21"/>
        </w:rPr>
        <w:t>　对外援助项目、国家相关资格或者资质管理制度另有规定的项目，不适用本办法。</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第二十三条</w:t>
      </w:r>
      <w:r>
        <w:rPr>
          <w:rFonts w:hint="eastAsia" w:cs="宋体" w:asciiTheme="minorEastAsia" w:hAnsiTheme="minorEastAsia" w:eastAsiaTheme="minorEastAsia"/>
          <w:color w:val="333333"/>
          <w:kern w:val="0"/>
          <w:szCs w:val="21"/>
        </w:rPr>
        <w:t>　关于视同中小企业的其他主体的政府采购扶持政策，由财政部会同有关部门另行规定。</w:t>
      </w:r>
    </w:p>
    <w:p>
      <w:pPr>
        <w:widowControl/>
        <w:shd w:val="clear" w:color="auto" w:fill="FFFFFF"/>
        <w:spacing w:line="360" w:lineRule="auto"/>
        <w:ind w:firstLine="480"/>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第二十四条</w:t>
      </w:r>
      <w:r>
        <w:rPr>
          <w:rFonts w:hint="eastAsia" w:cs="宋体" w:asciiTheme="minorEastAsia" w:hAnsiTheme="minorEastAsia" w:eastAsiaTheme="minorEastAsia"/>
          <w:color w:val="333333"/>
          <w:kern w:val="0"/>
          <w:szCs w:val="21"/>
        </w:rPr>
        <w:t>　省级财政部门可以会同中小企业主管部门根据本办法的规定制定具体实施办法。</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r>
        <w:rPr>
          <w:rFonts w:hint="eastAsia" w:cs="宋体" w:asciiTheme="minorEastAsia" w:hAnsiTheme="minorEastAsia" w:eastAsiaTheme="minorEastAsia"/>
          <w:b/>
          <w:bCs/>
          <w:color w:val="333333"/>
          <w:kern w:val="0"/>
          <w:szCs w:val="21"/>
        </w:rPr>
        <w:t>第二十五条</w:t>
      </w:r>
      <w:r>
        <w:rPr>
          <w:rFonts w:hint="eastAsia" w:cs="宋体" w:asciiTheme="minorEastAsia" w:hAnsiTheme="minorEastAsia" w:eastAsiaTheme="minorEastAsia"/>
          <w:color w:val="333333"/>
          <w:kern w:val="0"/>
          <w:szCs w:val="21"/>
        </w:rPr>
        <w:t>　本办法自2021年1月1日起施行。《财政部 工业和信息化部关于印发〈政府采购促进中小企业发展暂行办法〉的通知》（财库〔2011〕181号）同时废止。</w:t>
      </w:r>
    </w:p>
    <w:p>
      <w:pPr>
        <w:widowControl/>
        <w:shd w:val="clear" w:color="auto" w:fill="FFFFFF"/>
        <w:spacing w:line="360" w:lineRule="auto"/>
        <w:ind w:firstLine="480"/>
        <w:jc w:val="left"/>
        <w:rPr>
          <w:rFonts w:cs="宋体" w:asciiTheme="minorEastAsia" w:hAnsiTheme="minorEastAsia" w:eastAsiaTheme="minorEastAsia"/>
          <w:color w:val="333333"/>
          <w:kern w:val="0"/>
          <w:szCs w:val="21"/>
        </w:rPr>
      </w:pPr>
    </w:p>
    <w:p>
      <w:pPr>
        <w:spacing w:line="360" w:lineRule="auto"/>
        <w:rPr>
          <w:rFonts w:asciiTheme="minorEastAsia" w:hAnsiTheme="minorEastAsia" w:eastAsiaTheme="minorEastAsia"/>
          <w:szCs w:val="21"/>
        </w:rPr>
      </w:pPr>
    </w:p>
    <w:p>
      <w:pPr>
        <w:pStyle w:val="4"/>
        <w:spacing w:before="0" w:after="0"/>
      </w:pPr>
      <w:bookmarkStart w:id="100" w:name="_Toc73613645"/>
      <w:bookmarkStart w:id="101" w:name="_Toc73610163"/>
      <w:bookmarkStart w:id="102" w:name="_Toc135293195"/>
      <w:r>
        <w:rPr>
          <w:rFonts w:hint="eastAsia"/>
        </w:rPr>
        <w:t>二、关于印发中小企业划型标准规定的通知</w:t>
      </w:r>
      <w:bookmarkEnd w:id="100"/>
      <w:bookmarkEnd w:id="101"/>
      <w:bookmarkEnd w:id="102"/>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工信部联企业〔2011〕300号</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各省、自治区、直辖市人民政府，国务院各部委、各直属机构及有关单位：</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widowControl/>
        <w:shd w:val="clear" w:color="auto" w:fill="FFFFFF"/>
        <w:spacing w:before="100" w:beforeAutospacing="1" w:after="100" w:afterAutospacing="1" w:line="360" w:lineRule="auto"/>
        <w:jc w:val="righ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工业和信息化部　国家统计局</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国家发展和改革委员会　财政部</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二○一一年六月十八日</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hint="eastAsia" w:cs="宋体" w:asciiTheme="minorEastAsia" w:hAnsiTheme="minorEastAsia" w:eastAsiaTheme="minorEastAsia"/>
          <w:b/>
          <w:bCs/>
          <w:color w:val="000000"/>
          <w:kern w:val="0"/>
        </w:rPr>
        <w:t>中小企业划型标准规定</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　　一、根据《中华人民共和国中小企业促进法》和《国务院关于进一步促进中小企业发展的若干意见》(国发〔2009〕36号)，制定本规定。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二、中小企业划分为中型、小型、微型三种类型，具体标准根据企业从业人员、营业收入、资产总额等指标，结合行业特点制定。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四、各行业划型标准为：</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（一）农、林、牧、渔业。营业收入20000万元以下的为中小微型企业。其中，营业收入500万元及以上的为中型企业，营业收入50万元及以上的为小型企业，营业收入50万元以下的为微型企业。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（十六）其他未列明行业。从业人员300人以下的为中小微型企业。其中，从业人员100人及以上的为中型企业；从业人员10人及以上的为小型企业；从业人员10人以下的为微型企业。</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五、企业类型的划分以统计部门的统计数据为依据。</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六、本规定适用于在中华人民共和国境内依法设立的各类所有制和各种组织形式的企业。个体工商户和本规定以外的行业，参照本规定进行划型。</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八、本规定由工业和信息化部、国家统计局会同有关部门根据《国民经济行业分类》修订情况和企业发展变化情况适时修订。</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九、本规定由工业和信息化部、国家统计局会同有关部门负责解释。</w:t>
      </w:r>
      <w:r>
        <w:rPr>
          <w:rFonts w:hint="eastAsia" w:cs="宋体" w:asciiTheme="minorEastAsia" w:hAnsiTheme="minorEastAsia" w:eastAsiaTheme="minorEastAsia"/>
          <w:color w:val="000000"/>
          <w:kern w:val="0"/>
          <w:szCs w:val="21"/>
        </w:rPr>
        <w:br w:type="textWrapping"/>
      </w:r>
      <w:r>
        <w:rPr>
          <w:rFonts w:hint="eastAsia" w:cs="宋体" w:asciiTheme="minorEastAsia" w:hAnsiTheme="minorEastAsia" w:eastAsiaTheme="minorEastAsia"/>
          <w:color w:val="000000"/>
          <w:kern w:val="0"/>
          <w:szCs w:val="21"/>
        </w:rPr>
        <w:t>　　十、本规定自发布之日起执行，原国家经贸委、原国家计委、财政部和国家统计局2003年颁布的《中小企业标准暂行规定》同时废止。</w:t>
      </w:r>
    </w:p>
    <w:p>
      <w:pPr>
        <w:widowControl/>
        <w:shd w:val="clear" w:color="auto" w:fill="FFFFFF"/>
        <w:spacing w:before="100" w:beforeAutospacing="1" w:after="100" w:afterAutospacing="1" w:line="360" w:lineRule="auto"/>
        <w:jc w:val="left"/>
        <w:rPr>
          <w:rFonts w:cs="宋体" w:asciiTheme="minorEastAsia" w:hAnsiTheme="minorEastAsia" w:eastAsiaTheme="minorEastAsia"/>
          <w:color w:val="000000"/>
          <w:kern w:val="0"/>
          <w:szCs w:val="21"/>
        </w:rPr>
      </w:pPr>
    </w:p>
    <w:p>
      <w:pPr>
        <w:pStyle w:val="4"/>
        <w:spacing w:before="0" w:after="0"/>
      </w:pPr>
      <w:bookmarkStart w:id="103" w:name="_Toc73610164"/>
      <w:bookmarkStart w:id="104" w:name="_Toc73613646"/>
      <w:bookmarkStart w:id="105" w:name="_Toc135293196"/>
      <w:r>
        <w:rPr>
          <w:rFonts w:hint="eastAsia"/>
        </w:rPr>
        <w:t>三、</w:t>
      </w:r>
      <w:r>
        <w:t>国家统计局关于印发《统计上大中小微型企业划分办法 （2017）》的通知</w:t>
      </w:r>
      <w:bookmarkEnd w:id="103"/>
      <w:bookmarkEnd w:id="104"/>
      <w:bookmarkEnd w:id="105"/>
      <w:r>
        <w:t> </w:t>
      </w: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国统字〔2017〕213号</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1" w:right="0" w:hanging="1"/>
              <w:jc w:val="center"/>
              <w:rPr>
                <w:rFonts w:hint="default"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1" w:right="0" w:hanging="1"/>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1" w:right="0" w:hanging="1"/>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line="240" w:lineRule="exact"/>
              <w:ind w:left="0" w:right="0"/>
              <w:jc w:val="left"/>
              <w:rPr>
                <w:rFonts w:hint="default"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1" w:leftChars="-51" w:right="0" w:hanging="108" w:hangingChars="6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106" w:name="_Toc73613647"/>
      <w:bookmarkStart w:id="107" w:name="_Toc73610165"/>
      <w:bookmarkStart w:id="108" w:name="_Toc135293197"/>
      <w:r>
        <w:rPr>
          <w:rFonts w:hint="eastAsia"/>
        </w:rPr>
        <w:t>四、</w:t>
      </w:r>
      <w:r>
        <w:t>财政部 民政部 中国残疾人联合会关于促进残疾人就业 政府采购政策的通知</w:t>
      </w:r>
      <w:bookmarkEnd w:id="106"/>
      <w:bookmarkEnd w:id="107"/>
      <w:bookmarkEnd w:id="108"/>
      <w:r>
        <w:t xml:space="preserve"> </w:t>
      </w:r>
    </w:p>
    <w:p>
      <w:pPr>
        <w:widowControl/>
        <w:shd w:val="clear" w:color="auto" w:fill="FFFFFF"/>
        <w:spacing w:before="100" w:beforeAutospacing="1" w:after="100" w:afterAutospacing="1" w:line="360" w:lineRule="auto"/>
        <w:jc w:val="center"/>
        <w:rPr>
          <w:rFonts w:cs="宋体" w:asciiTheme="minorEastAsia" w:hAnsiTheme="minorEastAsia" w:eastAsiaTheme="minorEastAsia"/>
          <w:color w:val="000000"/>
          <w:kern w:val="0"/>
          <w:szCs w:val="21"/>
        </w:rPr>
      </w:pPr>
      <w:r>
        <w:rPr>
          <w:rFonts w:cs="宋体" w:asciiTheme="minorEastAsia" w:hAnsiTheme="minorEastAsia" w:eastAsiaTheme="minorEastAsia"/>
          <w:color w:val="000000"/>
          <w:kern w:val="0"/>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2017年8月22日</w:t>
      </w:r>
    </w:p>
    <w:p>
      <w:pPr>
        <w:tabs>
          <w:tab w:val="left" w:pos="1875"/>
        </w:tabs>
        <w:rPr>
          <w:rFonts w:ascii="Calibri" w:hAnsi="Calibri"/>
          <w:szCs w:val="22"/>
        </w:rPr>
      </w:pPr>
    </w:p>
    <w:p>
      <w:pPr>
        <w:rPr>
          <w:rFonts w:ascii="Calibri" w:hAnsi="Calibri"/>
          <w:szCs w:val="22"/>
        </w:rPr>
      </w:pPr>
    </w:p>
    <w:p>
      <w:pPr>
        <w:pStyle w:val="4"/>
        <w:spacing w:before="0" w:after="0"/>
      </w:pPr>
      <w:bookmarkStart w:id="109" w:name="_Toc135293198"/>
      <w:r>
        <w:rPr>
          <w:rFonts w:hint="eastAsia"/>
        </w:rPr>
        <w:t>五、财政部 司法部关于政府采购支持监狱企业发展有关问题的通知</w:t>
      </w:r>
      <w:bookmarkEnd w:id="109"/>
      <w:r>
        <w:t xml:space="preserve"> </w:t>
      </w:r>
    </w:p>
    <w:p>
      <w:pPr>
        <w:widowControl/>
        <w:spacing w:line="360" w:lineRule="auto"/>
        <w:jc w:val="center"/>
        <w:rPr>
          <w:rFonts w:cs="宋体" w:asciiTheme="minorEastAsia" w:hAnsiTheme="minorEastAsia" w:eastAsiaTheme="minorEastAsia"/>
          <w:kern w:val="0"/>
          <w:szCs w:val="21"/>
        </w:rPr>
      </w:pPr>
    </w:p>
    <w:p>
      <w:pPr>
        <w:widowControl/>
        <w:spacing w:line="360" w:lineRule="auto"/>
        <w:jc w:val="center"/>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财库〔2014〕68号</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有关人民团体，中央国家机关政府采购中心，中共中央直属机关采购中心，全国人大机关采购中心，各省、自治区、直辖市、计划单列市财政厅（局）、司法厅（局），新疆生产建设兵团财务局、司法局、监狱管理局：</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政府采购支持监狱和戒毒企业（以下简称监狱企业）发展对稳定监狱企业生产，提高财政资金使用效益，为罪犯和戒毒人员提供长期可靠的劳动岗位，提高罪犯和戒毒人员的教育改造质量，减少重新违法犯罪，确保监狱、戒毒场所安全稳定，促进社会和谐稳定具有十分重要的意义。为进一步贯彻落实国务院《关于解决监狱企业困难的实施方案的通知》（国发</w:t>
      </w:r>
      <w:r>
        <w:rPr>
          <w:rFonts w:cs="宋体" w:asciiTheme="minorEastAsia" w:hAnsiTheme="minorEastAsia" w:eastAsiaTheme="minorEastAsia"/>
          <w:kern w:val="0"/>
          <w:szCs w:val="21"/>
        </w:rPr>
        <w:t>[2003]7</w:t>
      </w:r>
      <w:r>
        <w:rPr>
          <w:rFonts w:hint="eastAsia" w:cs="宋体" w:asciiTheme="minorEastAsia" w:hAnsiTheme="minorEastAsia" w:eastAsiaTheme="minorEastAsia"/>
          <w:kern w:val="0"/>
          <w:szCs w:val="21"/>
        </w:rPr>
        <w:t>号）文件精神，发挥政府采购支持监狱企业发展的作用，现就有关事项通知如下：</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二、在政府采购活动中，监狱企业视同小型、微型企业，享受预留份额、评审中价格扣除等政府采购促进中小企业发展的政府采购政策。向监狱企业采购的金额，计入面向中小企业采购的统计数据。</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三、各地区、各部门要积极通过预留采购份额支持监狱企业。有制服采购项目的部门，应加强对政府采购预算和计划编制工作的统筹，预留本部门制服采购项目预算总额的</w:t>
      </w:r>
      <w:r>
        <w:rPr>
          <w:rFonts w:cs="宋体" w:asciiTheme="minorEastAsia" w:hAnsiTheme="minorEastAsia" w:eastAsiaTheme="minorEastAsia"/>
          <w:kern w:val="0"/>
          <w:szCs w:val="21"/>
        </w:rPr>
        <w:t>30%</w:t>
      </w:r>
      <w:r>
        <w:rPr>
          <w:rFonts w:hint="eastAsia" w:cs="宋体" w:asciiTheme="minorEastAsia" w:hAnsiTheme="minorEastAsia" w:eastAsiaTheme="minorEastAsia"/>
          <w:kern w:val="0"/>
          <w:szCs w:val="21"/>
        </w:rPr>
        <w:t>以上，专门面向监狱企业采购。省级以上政府部门组织的公务员考试、招生考试、等级考试、资格考试的试卷印刷项目原则上应当在符合有关资质的监狱企业范围内采购。各地在免费教科书政府采购工作中，应当根据符合教科书印制资质的监狱企业情况，提出由监狱企业印刷的比例要求。</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四、各地区可以结合本地区实际，对监狱企业生产的办公用品、家具用具、车辆维修和提供的保养服务、消防设备等，提出预留份额等政府采购支持措施，加大对监狱企业产品的采购力度。</w:t>
      </w:r>
    </w:p>
    <w:p>
      <w:pPr>
        <w:widowControl/>
        <w:spacing w:line="360" w:lineRule="auto"/>
        <w:ind w:firstLine="424" w:firstLineChars="202"/>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五、各地区、各部门要高度重视，加强组织管理和监督，做好政府采购支持监狱企业发展的相关工作。有关部门要加强监管，确保面向监狱企业采购的工作依法依规进行。各监狱企业要不断提高监狱企业产品的质量和服务水平，为做好监狱企业产品政府采购工作提供有力保障。</w:t>
      </w:r>
    </w:p>
    <w:p>
      <w:pPr>
        <w:widowControl/>
        <w:spacing w:line="360" w:lineRule="auto"/>
        <w:jc w:val="left"/>
        <w:rPr>
          <w:rFonts w:cs="宋体" w:asciiTheme="minorEastAsia" w:hAnsiTheme="minorEastAsia" w:eastAsiaTheme="minorEastAsia"/>
          <w:kern w:val="0"/>
          <w:szCs w:val="21"/>
        </w:rPr>
      </w:pP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中华人民共和国财政部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中华人民共和国司法部</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2014年6月10日</w:t>
      </w:r>
    </w:p>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ˎ̥">
    <w:altName w:val="微软雅黑"/>
    <w:panose1 w:val="00000000000000000000"/>
    <w:charset w:val="00"/>
    <w:family w:val="auto"/>
    <w:pitch w:val="default"/>
    <w:sig w:usb0="00000000" w:usb1="00000000" w:usb2="00000000"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Segoe UI Symbol">
    <w:panose1 w:val="020B0502040204020203"/>
    <w:charset w:val="00"/>
    <w:family w:val="swiss"/>
    <w:pitch w:val="default"/>
    <w:sig w:usb0="800001E3" w:usb1="1200FFEF" w:usb2="00040000" w:usb3="04000000" w:csb0="00000001" w:csb1="40000000"/>
  </w:font>
  <w:font w:name="Yu Gothic UI">
    <w:panose1 w:val="020B0500000000000000"/>
    <w:charset w:val="80"/>
    <w:family w:val="auto"/>
    <w:pitch w:val="default"/>
    <w:sig w:usb0="E00002FF" w:usb1="2AC7FDFF" w:usb2="00000016" w:usb3="00000000" w:csb0="2002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16</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lang w:eastAsia="zh-CN"/>
      </w:rPr>
      <w:t>2024深圳市国家基本公共卫生服务项目宣传月活动委托服务</w:t>
    </w:r>
    <w:r>
      <w:rPr>
        <w:rFonts w:hint="eastAsia" w:asciiTheme="minorEastAsia" w:hAnsiTheme="minorEastAsia" w:eastAsiaTheme="minorEastAsia"/>
      </w:rPr>
      <w:t xml:space="preserve">  </w:t>
    </w:r>
    <w:r>
      <w:rPr>
        <w:rFonts w:hint="eastAsia"/>
      </w:rPr>
      <w:t xml:space="preserve">              </w:t>
    </w:r>
    <w:r>
      <w:rPr>
        <w:rFonts w:hint="eastAsia"/>
        <w:lang w:val="en-US" w:eastAsia="zh-CN"/>
      </w:rPr>
      <w:t xml:space="preserve">   </w:t>
    </w:r>
    <w:r>
      <w:rPr>
        <w:rFonts w:hint="eastAsia"/>
      </w:rPr>
      <w:t>项目编号：</w:t>
    </w:r>
    <w:r>
      <w:rPr>
        <w:rFonts w:hint="eastAsia" w:asciiTheme="minorEastAsia" w:hAnsiTheme="minorEastAsia" w:eastAsiaTheme="minorEastAsia"/>
        <w:lang w:eastAsia="zh-CN"/>
      </w:rPr>
      <w:t>SZZZ2024-QC0142</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 w:name="KSO_WPS_MARK_KEY" w:val="79bf3387-fe5b-4970-822c-50cd05f3103b"/>
  </w:docVars>
  <w:rsids>
    <w:rsidRoot w:val="00172A27"/>
    <w:rsid w:val="0000134D"/>
    <w:rsid w:val="00001626"/>
    <w:rsid w:val="00001F1C"/>
    <w:rsid w:val="000036D6"/>
    <w:rsid w:val="00003A46"/>
    <w:rsid w:val="00003BA8"/>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9C6"/>
    <w:rsid w:val="00014DBB"/>
    <w:rsid w:val="00015940"/>
    <w:rsid w:val="00015AF5"/>
    <w:rsid w:val="00016458"/>
    <w:rsid w:val="000165EF"/>
    <w:rsid w:val="00016FC3"/>
    <w:rsid w:val="0001728F"/>
    <w:rsid w:val="00017340"/>
    <w:rsid w:val="000208F8"/>
    <w:rsid w:val="00021304"/>
    <w:rsid w:val="0002197F"/>
    <w:rsid w:val="00022C27"/>
    <w:rsid w:val="00022F4F"/>
    <w:rsid w:val="00022FA9"/>
    <w:rsid w:val="000237EE"/>
    <w:rsid w:val="00023830"/>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40"/>
    <w:rsid w:val="000356F7"/>
    <w:rsid w:val="00035FE0"/>
    <w:rsid w:val="000367ED"/>
    <w:rsid w:val="0003688B"/>
    <w:rsid w:val="000372E9"/>
    <w:rsid w:val="00037359"/>
    <w:rsid w:val="0003762A"/>
    <w:rsid w:val="0003795A"/>
    <w:rsid w:val="00040DA4"/>
    <w:rsid w:val="00042758"/>
    <w:rsid w:val="00043D2B"/>
    <w:rsid w:val="000440D8"/>
    <w:rsid w:val="000442CB"/>
    <w:rsid w:val="000447F6"/>
    <w:rsid w:val="000456B0"/>
    <w:rsid w:val="00045923"/>
    <w:rsid w:val="00045EB5"/>
    <w:rsid w:val="00046595"/>
    <w:rsid w:val="00046998"/>
    <w:rsid w:val="0004741F"/>
    <w:rsid w:val="00047612"/>
    <w:rsid w:val="00047852"/>
    <w:rsid w:val="00050F73"/>
    <w:rsid w:val="00051378"/>
    <w:rsid w:val="0005271F"/>
    <w:rsid w:val="000529DE"/>
    <w:rsid w:val="00053074"/>
    <w:rsid w:val="00053F8F"/>
    <w:rsid w:val="0005402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3DDC"/>
    <w:rsid w:val="00064787"/>
    <w:rsid w:val="00064A61"/>
    <w:rsid w:val="00064FA4"/>
    <w:rsid w:val="00065240"/>
    <w:rsid w:val="00065967"/>
    <w:rsid w:val="00066813"/>
    <w:rsid w:val="000668F4"/>
    <w:rsid w:val="0006745C"/>
    <w:rsid w:val="00067A89"/>
    <w:rsid w:val="00067D3F"/>
    <w:rsid w:val="00067DC4"/>
    <w:rsid w:val="000700C5"/>
    <w:rsid w:val="00070384"/>
    <w:rsid w:val="00071507"/>
    <w:rsid w:val="0007211D"/>
    <w:rsid w:val="00072BD7"/>
    <w:rsid w:val="000730F3"/>
    <w:rsid w:val="00073786"/>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8FB"/>
    <w:rsid w:val="00083D3F"/>
    <w:rsid w:val="00083E84"/>
    <w:rsid w:val="00084A1B"/>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6F0"/>
    <w:rsid w:val="000A584E"/>
    <w:rsid w:val="000A58B9"/>
    <w:rsid w:val="000A5A8E"/>
    <w:rsid w:val="000A5CD4"/>
    <w:rsid w:val="000A6263"/>
    <w:rsid w:val="000A6F16"/>
    <w:rsid w:val="000A7A6C"/>
    <w:rsid w:val="000A7C5A"/>
    <w:rsid w:val="000B0205"/>
    <w:rsid w:val="000B0214"/>
    <w:rsid w:val="000B0817"/>
    <w:rsid w:val="000B0910"/>
    <w:rsid w:val="000B0BAC"/>
    <w:rsid w:val="000B10D9"/>
    <w:rsid w:val="000B1ED2"/>
    <w:rsid w:val="000B20FC"/>
    <w:rsid w:val="000B22EA"/>
    <w:rsid w:val="000B3202"/>
    <w:rsid w:val="000B493E"/>
    <w:rsid w:val="000B4F60"/>
    <w:rsid w:val="000B5B6D"/>
    <w:rsid w:val="000B5CC8"/>
    <w:rsid w:val="000B5DFC"/>
    <w:rsid w:val="000B5E52"/>
    <w:rsid w:val="000B61BF"/>
    <w:rsid w:val="000B620E"/>
    <w:rsid w:val="000B67E1"/>
    <w:rsid w:val="000B6925"/>
    <w:rsid w:val="000C0E15"/>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09C"/>
    <w:rsid w:val="000D48D5"/>
    <w:rsid w:val="000D4AF6"/>
    <w:rsid w:val="000D6088"/>
    <w:rsid w:val="000D6977"/>
    <w:rsid w:val="000D6CFF"/>
    <w:rsid w:val="000D6D74"/>
    <w:rsid w:val="000D6F21"/>
    <w:rsid w:val="000D75EC"/>
    <w:rsid w:val="000D7803"/>
    <w:rsid w:val="000D7D8E"/>
    <w:rsid w:val="000D7DC6"/>
    <w:rsid w:val="000E024C"/>
    <w:rsid w:val="000E08FB"/>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E6C3B"/>
    <w:rsid w:val="000F06E7"/>
    <w:rsid w:val="000F0B03"/>
    <w:rsid w:val="000F0BDA"/>
    <w:rsid w:val="000F0D6F"/>
    <w:rsid w:val="000F150F"/>
    <w:rsid w:val="000F1E27"/>
    <w:rsid w:val="000F1EDD"/>
    <w:rsid w:val="000F243B"/>
    <w:rsid w:val="000F2773"/>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A82"/>
    <w:rsid w:val="00114ECC"/>
    <w:rsid w:val="001151A9"/>
    <w:rsid w:val="00115834"/>
    <w:rsid w:val="00115CCC"/>
    <w:rsid w:val="00115E6A"/>
    <w:rsid w:val="0012030F"/>
    <w:rsid w:val="00120AB4"/>
    <w:rsid w:val="00120BE1"/>
    <w:rsid w:val="0012174B"/>
    <w:rsid w:val="00121A55"/>
    <w:rsid w:val="00121B3C"/>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510"/>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49C"/>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6F7"/>
    <w:rsid w:val="00167789"/>
    <w:rsid w:val="00167927"/>
    <w:rsid w:val="0017073E"/>
    <w:rsid w:val="00170C17"/>
    <w:rsid w:val="0017173E"/>
    <w:rsid w:val="00171CA3"/>
    <w:rsid w:val="00171E66"/>
    <w:rsid w:val="001722D8"/>
    <w:rsid w:val="00172A27"/>
    <w:rsid w:val="00172AE3"/>
    <w:rsid w:val="00172C34"/>
    <w:rsid w:val="00173149"/>
    <w:rsid w:val="001733BF"/>
    <w:rsid w:val="00173759"/>
    <w:rsid w:val="001739A3"/>
    <w:rsid w:val="00173D26"/>
    <w:rsid w:val="00174B1E"/>
    <w:rsid w:val="001755B2"/>
    <w:rsid w:val="001755E9"/>
    <w:rsid w:val="00175A5E"/>
    <w:rsid w:val="00176553"/>
    <w:rsid w:val="00177212"/>
    <w:rsid w:val="001774D4"/>
    <w:rsid w:val="00177549"/>
    <w:rsid w:val="00177744"/>
    <w:rsid w:val="001778BE"/>
    <w:rsid w:val="00177F89"/>
    <w:rsid w:val="00180B0D"/>
    <w:rsid w:val="00181ADD"/>
    <w:rsid w:val="00181FEA"/>
    <w:rsid w:val="00181FFD"/>
    <w:rsid w:val="00182706"/>
    <w:rsid w:val="0018284B"/>
    <w:rsid w:val="001828B0"/>
    <w:rsid w:val="00183836"/>
    <w:rsid w:val="001845E9"/>
    <w:rsid w:val="00184630"/>
    <w:rsid w:val="001846D7"/>
    <w:rsid w:val="00184815"/>
    <w:rsid w:val="001848F5"/>
    <w:rsid w:val="001850A4"/>
    <w:rsid w:val="001864FF"/>
    <w:rsid w:val="001874BC"/>
    <w:rsid w:val="00187B3E"/>
    <w:rsid w:val="001913BE"/>
    <w:rsid w:val="0019153B"/>
    <w:rsid w:val="001915A3"/>
    <w:rsid w:val="001919EB"/>
    <w:rsid w:val="00191B94"/>
    <w:rsid w:val="00191D89"/>
    <w:rsid w:val="0019227B"/>
    <w:rsid w:val="00192D08"/>
    <w:rsid w:val="0019368B"/>
    <w:rsid w:val="001938D2"/>
    <w:rsid w:val="00193917"/>
    <w:rsid w:val="001941C8"/>
    <w:rsid w:val="00194D59"/>
    <w:rsid w:val="00195B8B"/>
    <w:rsid w:val="00195DCB"/>
    <w:rsid w:val="00195F14"/>
    <w:rsid w:val="001961A2"/>
    <w:rsid w:val="00196787"/>
    <w:rsid w:val="00196B4C"/>
    <w:rsid w:val="001970AD"/>
    <w:rsid w:val="00197204"/>
    <w:rsid w:val="001A173C"/>
    <w:rsid w:val="001A1844"/>
    <w:rsid w:val="001A1998"/>
    <w:rsid w:val="001A1BE9"/>
    <w:rsid w:val="001A20CA"/>
    <w:rsid w:val="001A290D"/>
    <w:rsid w:val="001A2B9F"/>
    <w:rsid w:val="001A3B13"/>
    <w:rsid w:val="001A3CF6"/>
    <w:rsid w:val="001A3EE7"/>
    <w:rsid w:val="001A4360"/>
    <w:rsid w:val="001A4420"/>
    <w:rsid w:val="001A46B5"/>
    <w:rsid w:val="001A46F2"/>
    <w:rsid w:val="001A68EC"/>
    <w:rsid w:val="001A6C49"/>
    <w:rsid w:val="001A7AB7"/>
    <w:rsid w:val="001A7C91"/>
    <w:rsid w:val="001B0220"/>
    <w:rsid w:val="001B0850"/>
    <w:rsid w:val="001B1281"/>
    <w:rsid w:val="001B1D39"/>
    <w:rsid w:val="001B2126"/>
    <w:rsid w:val="001B2329"/>
    <w:rsid w:val="001B23F5"/>
    <w:rsid w:val="001B24E4"/>
    <w:rsid w:val="001B2666"/>
    <w:rsid w:val="001B2909"/>
    <w:rsid w:val="001B2A31"/>
    <w:rsid w:val="001B2D49"/>
    <w:rsid w:val="001B2E91"/>
    <w:rsid w:val="001B5780"/>
    <w:rsid w:val="001B5B42"/>
    <w:rsid w:val="001B606A"/>
    <w:rsid w:val="001B6DDB"/>
    <w:rsid w:val="001B7078"/>
    <w:rsid w:val="001B7491"/>
    <w:rsid w:val="001B75CF"/>
    <w:rsid w:val="001B7A8D"/>
    <w:rsid w:val="001B7EBE"/>
    <w:rsid w:val="001C06C0"/>
    <w:rsid w:val="001C0AC9"/>
    <w:rsid w:val="001C0D5A"/>
    <w:rsid w:val="001C10E5"/>
    <w:rsid w:val="001C1A12"/>
    <w:rsid w:val="001C1D46"/>
    <w:rsid w:val="001C1F6C"/>
    <w:rsid w:val="001C21BB"/>
    <w:rsid w:val="001C3000"/>
    <w:rsid w:val="001C30D1"/>
    <w:rsid w:val="001C33D6"/>
    <w:rsid w:val="001C35B7"/>
    <w:rsid w:val="001C36F7"/>
    <w:rsid w:val="001C3AE0"/>
    <w:rsid w:val="001C3BAD"/>
    <w:rsid w:val="001C5F9A"/>
    <w:rsid w:val="001C6ECF"/>
    <w:rsid w:val="001C7E49"/>
    <w:rsid w:val="001D012D"/>
    <w:rsid w:val="001D0702"/>
    <w:rsid w:val="001D0A25"/>
    <w:rsid w:val="001D1078"/>
    <w:rsid w:val="001D1659"/>
    <w:rsid w:val="001D296C"/>
    <w:rsid w:val="001D2E3E"/>
    <w:rsid w:val="001D2E8A"/>
    <w:rsid w:val="001D2F3D"/>
    <w:rsid w:val="001D33C3"/>
    <w:rsid w:val="001D3DED"/>
    <w:rsid w:val="001D3DF8"/>
    <w:rsid w:val="001D3F8A"/>
    <w:rsid w:val="001D4E6F"/>
    <w:rsid w:val="001D5573"/>
    <w:rsid w:val="001D56C8"/>
    <w:rsid w:val="001D5E80"/>
    <w:rsid w:val="001D6356"/>
    <w:rsid w:val="001D6806"/>
    <w:rsid w:val="001D6EC3"/>
    <w:rsid w:val="001D710C"/>
    <w:rsid w:val="001E0886"/>
    <w:rsid w:val="001E11B1"/>
    <w:rsid w:val="001E1B1E"/>
    <w:rsid w:val="001E1C18"/>
    <w:rsid w:val="001E208F"/>
    <w:rsid w:val="001E233C"/>
    <w:rsid w:val="001E4950"/>
    <w:rsid w:val="001E5014"/>
    <w:rsid w:val="001E630A"/>
    <w:rsid w:val="001E6C11"/>
    <w:rsid w:val="001E7838"/>
    <w:rsid w:val="001E7A22"/>
    <w:rsid w:val="001E7D19"/>
    <w:rsid w:val="001F0C50"/>
    <w:rsid w:val="001F0CFA"/>
    <w:rsid w:val="001F0ECC"/>
    <w:rsid w:val="001F1464"/>
    <w:rsid w:val="001F1897"/>
    <w:rsid w:val="001F1905"/>
    <w:rsid w:val="001F1EAE"/>
    <w:rsid w:val="001F1F7F"/>
    <w:rsid w:val="001F26A0"/>
    <w:rsid w:val="001F2C63"/>
    <w:rsid w:val="001F2E14"/>
    <w:rsid w:val="001F37E0"/>
    <w:rsid w:val="001F3A0C"/>
    <w:rsid w:val="001F3E7F"/>
    <w:rsid w:val="001F401A"/>
    <w:rsid w:val="001F4A76"/>
    <w:rsid w:val="001F4F4A"/>
    <w:rsid w:val="001F534F"/>
    <w:rsid w:val="001F543D"/>
    <w:rsid w:val="001F56BD"/>
    <w:rsid w:val="001F5813"/>
    <w:rsid w:val="001F5989"/>
    <w:rsid w:val="001F64C1"/>
    <w:rsid w:val="001F6CB0"/>
    <w:rsid w:val="002001F1"/>
    <w:rsid w:val="00201348"/>
    <w:rsid w:val="00201A4E"/>
    <w:rsid w:val="00201B37"/>
    <w:rsid w:val="00201C8A"/>
    <w:rsid w:val="00202525"/>
    <w:rsid w:val="00202B43"/>
    <w:rsid w:val="002035A2"/>
    <w:rsid w:val="00203787"/>
    <w:rsid w:val="00203887"/>
    <w:rsid w:val="002046D6"/>
    <w:rsid w:val="00204D09"/>
    <w:rsid w:val="00204F5C"/>
    <w:rsid w:val="00205C71"/>
    <w:rsid w:val="00206815"/>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AED"/>
    <w:rsid w:val="00223BB4"/>
    <w:rsid w:val="00223DBF"/>
    <w:rsid w:val="00223FB6"/>
    <w:rsid w:val="0022435D"/>
    <w:rsid w:val="0022442C"/>
    <w:rsid w:val="002245B1"/>
    <w:rsid w:val="00224A1D"/>
    <w:rsid w:val="00224BA5"/>
    <w:rsid w:val="00225340"/>
    <w:rsid w:val="002259D7"/>
    <w:rsid w:val="00225E69"/>
    <w:rsid w:val="002269FF"/>
    <w:rsid w:val="002274F2"/>
    <w:rsid w:val="00227BE4"/>
    <w:rsid w:val="002303B3"/>
    <w:rsid w:val="00230D0C"/>
    <w:rsid w:val="00230EA4"/>
    <w:rsid w:val="0023207C"/>
    <w:rsid w:val="0023316C"/>
    <w:rsid w:val="00233EA8"/>
    <w:rsid w:val="00233EE9"/>
    <w:rsid w:val="002344D9"/>
    <w:rsid w:val="00235237"/>
    <w:rsid w:val="002356F7"/>
    <w:rsid w:val="0023573C"/>
    <w:rsid w:val="00235CCD"/>
    <w:rsid w:val="0023602F"/>
    <w:rsid w:val="00236048"/>
    <w:rsid w:val="002362ED"/>
    <w:rsid w:val="00237036"/>
    <w:rsid w:val="002372AC"/>
    <w:rsid w:val="00237588"/>
    <w:rsid w:val="002375DA"/>
    <w:rsid w:val="00237A33"/>
    <w:rsid w:val="00237F7F"/>
    <w:rsid w:val="002402E8"/>
    <w:rsid w:val="002405DB"/>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4757C"/>
    <w:rsid w:val="002506EE"/>
    <w:rsid w:val="00250E42"/>
    <w:rsid w:val="00250E89"/>
    <w:rsid w:val="0025197E"/>
    <w:rsid w:val="00252912"/>
    <w:rsid w:val="00252D49"/>
    <w:rsid w:val="00253956"/>
    <w:rsid w:val="00253C51"/>
    <w:rsid w:val="002548D3"/>
    <w:rsid w:val="00254E85"/>
    <w:rsid w:val="0025568B"/>
    <w:rsid w:val="00255E94"/>
    <w:rsid w:val="002561B7"/>
    <w:rsid w:val="002562F6"/>
    <w:rsid w:val="00256EDB"/>
    <w:rsid w:val="00256FEA"/>
    <w:rsid w:val="00257131"/>
    <w:rsid w:val="00257314"/>
    <w:rsid w:val="0025733E"/>
    <w:rsid w:val="00257590"/>
    <w:rsid w:val="00257882"/>
    <w:rsid w:val="00257F6B"/>
    <w:rsid w:val="00260C4E"/>
    <w:rsid w:val="0026110D"/>
    <w:rsid w:val="00261B4C"/>
    <w:rsid w:val="00261C50"/>
    <w:rsid w:val="00261C71"/>
    <w:rsid w:val="00261E06"/>
    <w:rsid w:val="0026249A"/>
    <w:rsid w:val="002625B4"/>
    <w:rsid w:val="00263090"/>
    <w:rsid w:val="00263146"/>
    <w:rsid w:val="002648F5"/>
    <w:rsid w:val="00264D98"/>
    <w:rsid w:val="00265054"/>
    <w:rsid w:val="0026523F"/>
    <w:rsid w:val="002657D5"/>
    <w:rsid w:val="00265EBC"/>
    <w:rsid w:val="0026696D"/>
    <w:rsid w:val="00266BE6"/>
    <w:rsid w:val="00266EC1"/>
    <w:rsid w:val="00267127"/>
    <w:rsid w:val="00267325"/>
    <w:rsid w:val="002674F1"/>
    <w:rsid w:val="00267935"/>
    <w:rsid w:val="00270B8F"/>
    <w:rsid w:val="00271B39"/>
    <w:rsid w:val="00271C92"/>
    <w:rsid w:val="0027280E"/>
    <w:rsid w:val="0027293A"/>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9C0"/>
    <w:rsid w:val="00282D45"/>
    <w:rsid w:val="00283253"/>
    <w:rsid w:val="0028362C"/>
    <w:rsid w:val="002836C6"/>
    <w:rsid w:val="00284442"/>
    <w:rsid w:val="0028615B"/>
    <w:rsid w:val="00286DFC"/>
    <w:rsid w:val="00287102"/>
    <w:rsid w:val="00290002"/>
    <w:rsid w:val="0029069C"/>
    <w:rsid w:val="00291560"/>
    <w:rsid w:val="00291AF5"/>
    <w:rsid w:val="0029244F"/>
    <w:rsid w:val="00293B82"/>
    <w:rsid w:val="00293DA4"/>
    <w:rsid w:val="002965D8"/>
    <w:rsid w:val="0029715E"/>
    <w:rsid w:val="002A00F2"/>
    <w:rsid w:val="002A0381"/>
    <w:rsid w:val="002A0425"/>
    <w:rsid w:val="002A0651"/>
    <w:rsid w:val="002A06BD"/>
    <w:rsid w:val="002A0F79"/>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2D8"/>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411"/>
    <w:rsid w:val="002C55AB"/>
    <w:rsid w:val="002C588A"/>
    <w:rsid w:val="002C5EEF"/>
    <w:rsid w:val="002C6527"/>
    <w:rsid w:val="002C7D71"/>
    <w:rsid w:val="002D0724"/>
    <w:rsid w:val="002D13DF"/>
    <w:rsid w:val="002D2936"/>
    <w:rsid w:val="002D3B6B"/>
    <w:rsid w:val="002D41A4"/>
    <w:rsid w:val="002D603D"/>
    <w:rsid w:val="002D62E1"/>
    <w:rsid w:val="002E00AD"/>
    <w:rsid w:val="002E032F"/>
    <w:rsid w:val="002E075F"/>
    <w:rsid w:val="002E08C1"/>
    <w:rsid w:val="002E0B56"/>
    <w:rsid w:val="002E0B5D"/>
    <w:rsid w:val="002E1192"/>
    <w:rsid w:val="002E1650"/>
    <w:rsid w:val="002E1ABF"/>
    <w:rsid w:val="002E1DA6"/>
    <w:rsid w:val="002E1FD4"/>
    <w:rsid w:val="002E2087"/>
    <w:rsid w:val="002E214F"/>
    <w:rsid w:val="002E24BD"/>
    <w:rsid w:val="002E3C98"/>
    <w:rsid w:val="002E4485"/>
    <w:rsid w:val="002E4681"/>
    <w:rsid w:val="002E4D51"/>
    <w:rsid w:val="002E5619"/>
    <w:rsid w:val="002E57C9"/>
    <w:rsid w:val="002E6136"/>
    <w:rsid w:val="002E6371"/>
    <w:rsid w:val="002E6A58"/>
    <w:rsid w:val="002E6D98"/>
    <w:rsid w:val="002E7881"/>
    <w:rsid w:val="002E7975"/>
    <w:rsid w:val="002E7A31"/>
    <w:rsid w:val="002F01F2"/>
    <w:rsid w:val="002F068A"/>
    <w:rsid w:val="002F11D5"/>
    <w:rsid w:val="002F1A62"/>
    <w:rsid w:val="002F21EF"/>
    <w:rsid w:val="002F2741"/>
    <w:rsid w:val="002F2B63"/>
    <w:rsid w:val="002F3765"/>
    <w:rsid w:val="002F3F28"/>
    <w:rsid w:val="002F44A0"/>
    <w:rsid w:val="002F471C"/>
    <w:rsid w:val="002F496A"/>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537"/>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4EC6"/>
    <w:rsid w:val="003256E0"/>
    <w:rsid w:val="00325E6C"/>
    <w:rsid w:val="003261AE"/>
    <w:rsid w:val="00326A13"/>
    <w:rsid w:val="00327114"/>
    <w:rsid w:val="00327B3E"/>
    <w:rsid w:val="00327EA3"/>
    <w:rsid w:val="00332227"/>
    <w:rsid w:val="00332486"/>
    <w:rsid w:val="00333097"/>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6ACB"/>
    <w:rsid w:val="003370F4"/>
    <w:rsid w:val="003374CB"/>
    <w:rsid w:val="00337D7C"/>
    <w:rsid w:val="00340445"/>
    <w:rsid w:val="003425A6"/>
    <w:rsid w:val="00342A4E"/>
    <w:rsid w:val="00342BAE"/>
    <w:rsid w:val="003431F0"/>
    <w:rsid w:val="00343ACE"/>
    <w:rsid w:val="00344388"/>
    <w:rsid w:val="0034484F"/>
    <w:rsid w:val="00345AD6"/>
    <w:rsid w:val="00345E2A"/>
    <w:rsid w:val="00345F25"/>
    <w:rsid w:val="00346772"/>
    <w:rsid w:val="00346E05"/>
    <w:rsid w:val="00347EED"/>
    <w:rsid w:val="003514C0"/>
    <w:rsid w:val="00351F42"/>
    <w:rsid w:val="00352BC1"/>
    <w:rsid w:val="00352F19"/>
    <w:rsid w:val="003536EE"/>
    <w:rsid w:val="00353939"/>
    <w:rsid w:val="00354FA4"/>
    <w:rsid w:val="00355855"/>
    <w:rsid w:val="0035600D"/>
    <w:rsid w:val="00356902"/>
    <w:rsid w:val="003571E8"/>
    <w:rsid w:val="00357742"/>
    <w:rsid w:val="00357CBA"/>
    <w:rsid w:val="003602AF"/>
    <w:rsid w:val="003619E8"/>
    <w:rsid w:val="00361FC9"/>
    <w:rsid w:val="00363CCB"/>
    <w:rsid w:val="003640EA"/>
    <w:rsid w:val="003642A2"/>
    <w:rsid w:val="003646C5"/>
    <w:rsid w:val="00365006"/>
    <w:rsid w:val="00365258"/>
    <w:rsid w:val="003653AC"/>
    <w:rsid w:val="00365ABF"/>
    <w:rsid w:val="003669D1"/>
    <w:rsid w:val="00366FA8"/>
    <w:rsid w:val="003675A2"/>
    <w:rsid w:val="0036774E"/>
    <w:rsid w:val="0037017C"/>
    <w:rsid w:val="003703D0"/>
    <w:rsid w:val="003706B3"/>
    <w:rsid w:val="003709F9"/>
    <w:rsid w:val="00372447"/>
    <w:rsid w:val="00372522"/>
    <w:rsid w:val="003728C9"/>
    <w:rsid w:val="00373353"/>
    <w:rsid w:val="00373923"/>
    <w:rsid w:val="003744B5"/>
    <w:rsid w:val="003745F2"/>
    <w:rsid w:val="00374BA5"/>
    <w:rsid w:val="00374BB4"/>
    <w:rsid w:val="003756AA"/>
    <w:rsid w:val="00376309"/>
    <w:rsid w:val="00376E0D"/>
    <w:rsid w:val="003773D2"/>
    <w:rsid w:val="00377B2A"/>
    <w:rsid w:val="00377D0B"/>
    <w:rsid w:val="003805AC"/>
    <w:rsid w:val="0038079C"/>
    <w:rsid w:val="00380AE6"/>
    <w:rsid w:val="00381308"/>
    <w:rsid w:val="00381408"/>
    <w:rsid w:val="003814E4"/>
    <w:rsid w:val="00381578"/>
    <w:rsid w:val="003824ED"/>
    <w:rsid w:val="0038250A"/>
    <w:rsid w:val="00382561"/>
    <w:rsid w:val="00382B9E"/>
    <w:rsid w:val="00382C17"/>
    <w:rsid w:val="0038312C"/>
    <w:rsid w:val="0038318E"/>
    <w:rsid w:val="0038436C"/>
    <w:rsid w:val="003843EC"/>
    <w:rsid w:val="003847A5"/>
    <w:rsid w:val="00385229"/>
    <w:rsid w:val="003853E7"/>
    <w:rsid w:val="00385433"/>
    <w:rsid w:val="00387884"/>
    <w:rsid w:val="00387F66"/>
    <w:rsid w:val="0039022F"/>
    <w:rsid w:val="0039048F"/>
    <w:rsid w:val="003909DB"/>
    <w:rsid w:val="00390AD5"/>
    <w:rsid w:val="00391069"/>
    <w:rsid w:val="00391591"/>
    <w:rsid w:val="003919DA"/>
    <w:rsid w:val="00391BFD"/>
    <w:rsid w:val="003922FE"/>
    <w:rsid w:val="00392999"/>
    <w:rsid w:val="00392B88"/>
    <w:rsid w:val="00392CF1"/>
    <w:rsid w:val="00393028"/>
    <w:rsid w:val="0039313E"/>
    <w:rsid w:val="003934F9"/>
    <w:rsid w:val="00393AB1"/>
    <w:rsid w:val="00394848"/>
    <w:rsid w:val="00394A73"/>
    <w:rsid w:val="00394CBF"/>
    <w:rsid w:val="00394D1B"/>
    <w:rsid w:val="00394EA1"/>
    <w:rsid w:val="00395AE1"/>
    <w:rsid w:val="00395F33"/>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DE7"/>
    <w:rsid w:val="003B1B85"/>
    <w:rsid w:val="003B1BFF"/>
    <w:rsid w:val="003B20E9"/>
    <w:rsid w:val="003B2926"/>
    <w:rsid w:val="003B3713"/>
    <w:rsid w:val="003B3AA5"/>
    <w:rsid w:val="003B445F"/>
    <w:rsid w:val="003B4982"/>
    <w:rsid w:val="003B4B46"/>
    <w:rsid w:val="003B4DF0"/>
    <w:rsid w:val="003B5725"/>
    <w:rsid w:val="003B5C4E"/>
    <w:rsid w:val="003B65AB"/>
    <w:rsid w:val="003B6CFD"/>
    <w:rsid w:val="003B7115"/>
    <w:rsid w:val="003B7B4E"/>
    <w:rsid w:val="003B7D23"/>
    <w:rsid w:val="003C0C16"/>
    <w:rsid w:val="003C121F"/>
    <w:rsid w:val="003C1C09"/>
    <w:rsid w:val="003C1F0B"/>
    <w:rsid w:val="003C2E11"/>
    <w:rsid w:val="003C3323"/>
    <w:rsid w:val="003C3359"/>
    <w:rsid w:val="003C3B63"/>
    <w:rsid w:val="003C3E94"/>
    <w:rsid w:val="003C44A5"/>
    <w:rsid w:val="003C4544"/>
    <w:rsid w:val="003C488F"/>
    <w:rsid w:val="003C4DA4"/>
    <w:rsid w:val="003C4E2E"/>
    <w:rsid w:val="003C5286"/>
    <w:rsid w:val="003C542A"/>
    <w:rsid w:val="003C57AA"/>
    <w:rsid w:val="003C5B59"/>
    <w:rsid w:val="003C63D8"/>
    <w:rsid w:val="003D06D4"/>
    <w:rsid w:val="003D1034"/>
    <w:rsid w:val="003D16D0"/>
    <w:rsid w:val="003D27FB"/>
    <w:rsid w:val="003D3FDB"/>
    <w:rsid w:val="003D482D"/>
    <w:rsid w:val="003D53DC"/>
    <w:rsid w:val="003D54FA"/>
    <w:rsid w:val="003D589A"/>
    <w:rsid w:val="003D5A2F"/>
    <w:rsid w:val="003D6826"/>
    <w:rsid w:val="003D6E2F"/>
    <w:rsid w:val="003D7964"/>
    <w:rsid w:val="003D7BA8"/>
    <w:rsid w:val="003D7E59"/>
    <w:rsid w:val="003E09B3"/>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0A8"/>
    <w:rsid w:val="003F2D6E"/>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840"/>
    <w:rsid w:val="00402AB6"/>
    <w:rsid w:val="00402FEE"/>
    <w:rsid w:val="004030E9"/>
    <w:rsid w:val="004035B9"/>
    <w:rsid w:val="00403BC3"/>
    <w:rsid w:val="00403DA9"/>
    <w:rsid w:val="004041EF"/>
    <w:rsid w:val="00404F25"/>
    <w:rsid w:val="00405A2A"/>
    <w:rsid w:val="00405AF2"/>
    <w:rsid w:val="00405C91"/>
    <w:rsid w:val="00405E73"/>
    <w:rsid w:val="00405FD0"/>
    <w:rsid w:val="004061A4"/>
    <w:rsid w:val="004061E0"/>
    <w:rsid w:val="0040632D"/>
    <w:rsid w:val="00406AED"/>
    <w:rsid w:val="00407B04"/>
    <w:rsid w:val="00407BC7"/>
    <w:rsid w:val="004101C5"/>
    <w:rsid w:val="004103C4"/>
    <w:rsid w:val="00410BE7"/>
    <w:rsid w:val="00410D26"/>
    <w:rsid w:val="0041105B"/>
    <w:rsid w:val="004110C4"/>
    <w:rsid w:val="004124E8"/>
    <w:rsid w:val="00412773"/>
    <w:rsid w:val="0041311B"/>
    <w:rsid w:val="00413625"/>
    <w:rsid w:val="00413998"/>
    <w:rsid w:val="00413BFD"/>
    <w:rsid w:val="00413DFF"/>
    <w:rsid w:val="00414A4F"/>
    <w:rsid w:val="00415756"/>
    <w:rsid w:val="00415B9C"/>
    <w:rsid w:val="004166CA"/>
    <w:rsid w:val="0041688D"/>
    <w:rsid w:val="004168DB"/>
    <w:rsid w:val="00416970"/>
    <w:rsid w:val="00416A9F"/>
    <w:rsid w:val="004170BB"/>
    <w:rsid w:val="00417D63"/>
    <w:rsid w:val="004201B7"/>
    <w:rsid w:val="00421FC0"/>
    <w:rsid w:val="00422A18"/>
    <w:rsid w:val="00422B01"/>
    <w:rsid w:val="00423668"/>
    <w:rsid w:val="00423C36"/>
    <w:rsid w:val="004242E7"/>
    <w:rsid w:val="00424451"/>
    <w:rsid w:val="00424697"/>
    <w:rsid w:val="00424B8A"/>
    <w:rsid w:val="004257A4"/>
    <w:rsid w:val="00425A62"/>
    <w:rsid w:val="00425BEB"/>
    <w:rsid w:val="00425DDC"/>
    <w:rsid w:val="00426433"/>
    <w:rsid w:val="00426BE7"/>
    <w:rsid w:val="0042701A"/>
    <w:rsid w:val="00427369"/>
    <w:rsid w:val="00427383"/>
    <w:rsid w:val="00427BF1"/>
    <w:rsid w:val="004304D3"/>
    <w:rsid w:val="00430640"/>
    <w:rsid w:val="00430E30"/>
    <w:rsid w:val="00431315"/>
    <w:rsid w:val="00431CAB"/>
    <w:rsid w:val="00432122"/>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C8A"/>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5E39"/>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67D61"/>
    <w:rsid w:val="00470261"/>
    <w:rsid w:val="00470367"/>
    <w:rsid w:val="004705C5"/>
    <w:rsid w:val="0047062C"/>
    <w:rsid w:val="00470934"/>
    <w:rsid w:val="00470AE5"/>
    <w:rsid w:val="0047124D"/>
    <w:rsid w:val="00471CC8"/>
    <w:rsid w:val="00471EE7"/>
    <w:rsid w:val="0047226D"/>
    <w:rsid w:val="0047365F"/>
    <w:rsid w:val="00474CD6"/>
    <w:rsid w:val="00474D62"/>
    <w:rsid w:val="004751E7"/>
    <w:rsid w:val="0047557C"/>
    <w:rsid w:val="0047562B"/>
    <w:rsid w:val="004758F9"/>
    <w:rsid w:val="00475D1D"/>
    <w:rsid w:val="004770BE"/>
    <w:rsid w:val="00477276"/>
    <w:rsid w:val="004776B9"/>
    <w:rsid w:val="00477C17"/>
    <w:rsid w:val="00480837"/>
    <w:rsid w:val="004813C6"/>
    <w:rsid w:val="00481B7C"/>
    <w:rsid w:val="00482480"/>
    <w:rsid w:val="00482C64"/>
    <w:rsid w:val="00482DF6"/>
    <w:rsid w:val="00485168"/>
    <w:rsid w:val="004855EC"/>
    <w:rsid w:val="0048578C"/>
    <w:rsid w:val="00485872"/>
    <w:rsid w:val="00485915"/>
    <w:rsid w:val="00485EA4"/>
    <w:rsid w:val="0048669A"/>
    <w:rsid w:val="00486C08"/>
    <w:rsid w:val="0048757E"/>
    <w:rsid w:val="00487C54"/>
    <w:rsid w:val="00487F2E"/>
    <w:rsid w:val="00490561"/>
    <w:rsid w:val="0049059F"/>
    <w:rsid w:val="00490F6B"/>
    <w:rsid w:val="00492CA8"/>
    <w:rsid w:val="004932D3"/>
    <w:rsid w:val="0049351A"/>
    <w:rsid w:val="0049364A"/>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0FE6"/>
    <w:rsid w:val="004C1447"/>
    <w:rsid w:val="004C15CD"/>
    <w:rsid w:val="004C166F"/>
    <w:rsid w:val="004C262D"/>
    <w:rsid w:val="004C2758"/>
    <w:rsid w:val="004C3BDB"/>
    <w:rsid w:val="004C3CB6"/>
    <w:rsid w:val="004C4B56"/>
    <w:rsid w:val="004C57D7"/>
    <w:rsid w:val="004C586A"/>
    <w:rsid w:val="004C6802"/>
    <w:rsid w:val="004C6CB0"/>
    <w:rsid w:val="004C6DD3"/>
    <w:rsid w:val="004C6F5B"/>
    <w:rsid w:val="004C7132"/>
    <w:rsid w:val="004C725E"/>
    <w:rsid w:val="004C7285"/>
    <w:rsid w:val="004C73AB"/>
    <w:rsid w:val="004C77BC"/>
    <w:rsid w:val="004D032D"/>
    <w:rsid w:val="004D03B3"/>
    <w:rsid w:val="004D05E3"/>
    <w:rsid w:val="004D0729"/>
    <w:rsid w:val="004D10AE"/>
    <w:rsid w:val="004D13DA"/>
    <w:rsid w:val="004D176E"/>
    <w:rsid w:val="004D241E"/>
    <w:rsid w:val="004D2FB2"/>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3EB"/>
    <w:rsid w:val="004E345A"/>
    <w:rsid w:val="004E3F06"/>
    <w:rsid w:val="004E433E"/>
    <w:rsid w:val="004E4394"/>
    <w:rsid w:val="004E44AF"/>
    <w:rsid w:val="004E5120"/>
    <w:rsid w:val="004E52D5"/>
    <w:rsid w:val="004E59C7"/>
    <w:rsid w:val="004E67BD"/>
    <w:rsid w:val="004E67CC"/>
    <w:rsid w:val="004E6BED"/>
    <w:rsid w:val="004E7CFB"/>
    <w:rsid w:val="004F0094"/>
    <w:rsid w:val="004F091C"/>
    <w:rsid w:val="004F1279"/>
    <w:rsid w:val="004F1517"/>
    <w:rsid w:val="004F18C4"/>
    <w:rsid w:val="004F18C6"/>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09E8"/>
    <w:rsid w:val="005011A8"/>
    <w:rsid w:val="0050193A"/>
    <w:rsid w:val="00501E03"/>
    <w:rsid w:val="00501E5A"/>
    <w:rsid w:val="00501EB7"/>
    <w:rsid w:val="00502668"/>
    <w:rsid w:val="0050276C"/>
    <w:rsid w:val="005027F7"/>
    <w:rsid w:val="0050367F"/>
    <w:rsid w:val="00503D09"/>
    <w:rsid w:val="00503FE5"/>
    <w:rsid w:val="00504068"/>
    <w:rsid w:val="00504889"/>
    <w:rsid w:val="00504F17"/>
    <w:rsid w:val="00505297"/>
    <w:rsid w:val="0050563F"/>
    <w:rsid w:val="0050650A"/>
    <w:rsid w:val="00507045"/>
    <w:rsid w:val="00507372"/>
    <w:rsid w:val="00507643"/>
    <w:rsid w:val="00507ABD"/>
    <w:rsid w:val="00507FA4"/>
    <w:rsid w:val="005100BF"/>
    <w:rsid w:val="00510424"/>
    <w:rsid w:val="00510505"/>
    <w:rsid w:val="00510D49"/>
    <w:rsid w:val="0051105A"/>
    <w:rsid w:val="00511CAA"/>
    <w:rsid w:val="00511D21"/>
    <w:rsid w:val="00512690"/>
    <w:rsid w:val="00512B7A"/>
    <w:rsid w:val="00512CCA"/>
    <w:rsid w:val="00512EFD"/>
    <w:rsid w:val="00513220"/>
    <w:rsid w:val="005134DC"/>
    <w:rsid w:val="0051352C"/>
    <w:rsid w:val="00513896"/>
    <w:rsid w:val="00513998"/>
    <w:rsid w:val="00514214"/>
    <w:rsid w:val="0051453F"/>
    <w:rsid w:val="005146B7"/>
    <w:rsid w:val="00514823"/>
    <w:rsid w:val="00514C0A"/>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68E4"/>
    <w:rsid w:val="00527307"/>
    <w:rsid w:val="00527637"/>
    <w:rsid w:val="00527E4A"/>
    <w:rsid w:val="00530122"/>
    <w:rsid w:val="00530202"/>
    <w:rsid w:val="00530617"/>
    <w:rsid w:val="00530B1B"/>
    <w:rsid w:val="00531C5E"/>
    <w:rsid w:val="0053266F"/>
    <w:rsid w:val="00532A52"/>
    <w:rsid w:val="00532FBE"/>
    <w:rsid w:val="00533D1D"/>
    <w:rsid w:val="00535772"/>
    <w:rsid w:val="005357E8"/>
    <w:rsid w:val="005360B6"/>
    <w:rsid w:val="0053616B"/>
    <w:rsid w:val="00536AB7"/>
    <w:rsid w:val="00540796"/>
    <w:rsid w:val="005408EA"/>
    <w:rsid w:val="00540B90"/>
    <w:rsid w:val="00540C01"/>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4D52"/>
    <w:rsid w:val="005459D3"/>
    <w:rsid w:val="00545B7C"/>
    <w:rsid w:val="00545D4C"/>
    <w:rsid w:val="00545FC1"/>
    <w:rsid w:val="00546C0C"/>
    <w:rsid w:val="00547260"/>
    <w:rsid w:val="00547A02"/>
    <w:rsid w:val="00547A8E"/>
    <w:rsid w:val="00547E1E"/>
    <w:rsid w:val="00550163"/>
    <w:rsid w:val="00550BD7"/>
    <w:rsid w:val="00550FF4"/>
    <w:rsid w:val="00551A35"/>
    <w:rsid w:val="005520D7"/>
    <w:rsid w:val="005521BC"/>
    <w:rsid w:val="005531EF"/>
    <w:rsid w:val="00553C8A"/>
    <w:rsid w:val="00553F48"/>
    <w:rsid w:val="0055408C"/>
    <w:rsid w:val="00555289"/>
    <w:rsid w:val="00557BE8"/>
    <w:rsid w:val="00560452"/>
    <w:rsid w:val="0056097F"/>
    <w:rsid w:val="00560E39"/>
    <w:rsid w:val="00560F12"/>
    <w:rsid w:val="00562076"/>
    <w:rsid w:val="005622D6"/>
    <w:rsid w:val="00562AD4"/>
    <w:rsid w:val="00563583"/>
    <w:rsid w:val="005635DB"/>
    <w:rsid w:val="00563722"/>
    <w:rsid w:val="005644D2"/>
    <w:rsid w:val="00564915"/>
    <w:rsid w:val="00565126"/>
    <w:rsid w:val="0056605B"/>
    <w:rsid w:val="005664D0"/>
    <w:rsid w:val="00566509"/>
    <w:rsid w:val="00566610"/>
    <w:rsid w:val="00566C96"/>
    <w:rsid w:val="0056736F"/>
    <w:rsid w:val="00567D1B"/>
    <w:rsid w:val="005705DB"/>
    <w:rsid w:val="005709EF"/>
    <w:rsid w:val="0057109F"/>
    <w:rsid w:val="00571971"/>
    <w:rsid w:val="005721D9"/>
    <w:rsid w:val="00572770"/>
    <w:rsid w:val="005727ED"/>
    <w:rsid w:val="0057299C"/>
    <w:rsid w:val="00572A16"/>
    <w:rsid w:val="00572D02"/>
    <w:rsid w:val="00572E68"/>
    <w:rsid w:val="00572F10"/>
    <w:rsid w:val="005731E7"/>
    <w:rsid w:val="00573836"/>
    <w:rsid w:val="00573C96"/>
    <w:rsid w:val="00574200"/>
    <w:rsid w:val="00574776"/>
    <w:rsid w:val="005747E8"/>
    <w:rsid w:val="00574ADD"/>
    <w:rsid w:val="00574BF4"/>
    <w:rsid w:val="00575FD0"/>
    <w:rsid w:val="00576547"/>
    <w:rsid w:val="005766D7"/>
    <w:rsid w:val="00576B8F"/>
    <w:rsid w:val="00576ED0"/>
    <w:rsid w:val="00576F87"/>
    <w:rsid w:val="00577B69"/>
    <w:rsid w:val="005800A3"/>
    <w:rsid w:val="00580FED"/>
    <w:rsid w:val="00581587"/>
    <w:rsid w:val="00581F5A"/>
    <w:rsid w:val="00582B82"/>
    <w:rsid w:val="00582EF6"/>
    <w:rsid w:val="00583464"/>
    <w:rsid w:val="00583A9B"/>
    <w:rsid w:val="00584A54"/>
    <w:rsid w:val="00584E20"/>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3F48"/>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6E78"/>
    <w:rsid w:val="005C7036"/>
    <w:rsid w:val="005C7053"/>
    <w:rsid w:val="005D0181"/>
    <w:rsid w:val="005D1B22"/>
    <w:rsid w:val="005D1F87"/>
    <w:rsid w:val="005D247E"/>
    <w:rsid w:val="005D2797"/>
    <w:rsid w:val="005D2821"/>
    <w:rsid w:val="005D29AB"/>
    <w:rsid w:val="005D2AD9"/>
    <w:rsid w:val="005D487B"/>
    <w:rsid w:val="005D569E"/>
    <w:rsid w:val="005D6275"/>
    <w:rsid w:val="005D6A20"/>
    <w:rsid w:val="005D6BC4"/>
    <w:rsid w:val="005D75A8"/>
    <w:rsid w:val="005D7CA0"/>
    <w:rsid w:val="005D7F63"/>
    <w:rsid w:val="005D7FD7"/>
    <w:rsid w:val="005E01D6"/>
    <w:rsid w:val="005E058B"/>
    <w:rsid w:val="005E05EA"/>
    <w:rsid w:val="005E0D2C"/>
    <w:rsid w:val="005E0FBF"/>
    <w:rsid w:val="005E1A94"/>
    <w:rsid w:val="005E1E5E"/>
    <w:rsid w:val="005E1EC8"/>
    <w:rsid w:val="005E1F76"/>
    <w:rsid w:val="005E2578"/>
    <w:rsid w:val="005E285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94"/>
    <w:rsid w:val="005E78D5"/>
    <w:rsid w:val="005F048A"/>
    <w:rsid w:val="005F0A5C"/>
    <w:rsid w:val="005F0DF2"/>
    <w:rsid w:val="005F1192"/>
    <w:rsid w:val="005F1223"/>
    <w:rsid w:val="005F1569"/>
    <w:rsid w:val="005F1684"/>
    <w:rsid w:val="005F186F"/>
    <w:rsid w:val="005F2A09"/>
    <w:rsid w:val="005F30AF"/>
    <w:rsid w:val="005F3287"/>
    <w:rsid w:val="005F354D"/>
    <w:rsid w:val="005F36B8"/>
    <w:rsid w:val="005F41E6"/>
    <w:rsid w:val="005F4F63"/>
    <w:rsid w:val="005F50F8"/>
    <w:rsid w:val="005F57CD"/>
    <w:rsid w:val="005F5C60"/>
    <w:rsid w:val="005F65D7"/>
    <w:rsid w:val="005F7277"/>
    <w:rsid w:val="005F7432"/>
    <w:rsid w:val="0060015E"/>
    <w:rsid w:val="00600FF2"/>
    <w:rsid w:val="0060107B"/>
    <w:rsid w:val="00601744"/>
    <w:rsid w:val="00601EEB"/>
    <w:rsid w:val="0060324A"/>
    <w:rsid w:val="0060397E"/>
    <w:rsid w:val="00603B00"/>
    <w:rsid w:val="00603DF2"/>
    <w:rsid w:val="00604586"/>
    <w:rsid w:val="00604A3E"/>
    <w:rsid w:val="00604E98"/>
    <w:rsid w:val="006052EB"/>
    <w:rsid w:val="00605593"/>
    <w:rsid w:val="00607A47"/>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17CB1"/>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14C"/>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C99"/>
    <w:rsid w:val="00646FF5"/>
    <w:rsid w:val="00647366"/>
    <w:rsid w:val="00647CD3"/>
    <w:rsid w:val="0065022E"/>
    <w:rsid w:val="00650398"/>
    <w:rsid w:val="0065047A"/>
    <w:rsid w:val="006510E7"/>
    <w:rsid w:val="006514DB"/>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3E9E"/>
    <w:rsid w:val="006644CF"/>
    <w:rsid w:val="006645B8"/>
    <w:rsid w:val="00665461"/>
    <w:rsid w:val="00666308"/>
    <w:rsid w:val="00666BB7"/>
    <w:rsid w:val="00666C4C"/>
    <w:rsid w:val="00667518"/>
    <w:rsid w:val="00670342"/>
    <w:rsid w:val="00670D33"/>
    <w:rsid w:val="0067157C"/>
    <w:rsid w:val="00671AFA"/>
    <w:rsid w:val="006722F6"/>
    <w:rsid w:val="0067238B"/>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44C6"/>
    <w:rsid w:val="0068574F"/>
    <w:rsid w:val="00686222"/>
    <w:rsid w:val="00686C68"/>
    <w:rsid w:val="00686D9B"/>
    <w:rsid w:val="00686F04"/>
    <w:rsid w:val="00686F62"/>
    <w:rsid w:val="00687043"/>
    <w:rsid w:val="006872FC"/>
    <w:rsid w:val="00690B64"/>
    <w:rsid w:val="00691F51"/>
    <w:rsid w:val="00692328"/>
    <w:rsid w:val="0069241A"/>
    <w:rsid w:val="00693207"/>
    <w:rsid w:val="006935B9"/>
    <w:rsid w:val="00694848"/>
    <w:rsid w:val="00694C3D"/>
    <w:rsid w:val="00695224"/>
    <w:rsid w:val="00695584"/>
    <w:rsid w:val="00695AF5"/>
    <w:rsid w:val="00696667"/>
    <w:rsid w:val="00696EA4"/>
    <w:rsid w:val="00697A24"/>
    <w:rsid w:val="00697C1D"/>
    <w:rsid w:val="006A0902"/>
    <w:rsid w:val="006A0BAC"/>
    <w:rsid w:val="006A0DC0"/>
    <w:rsid w:val="006A1022"/>
    <w:rsid w:val="006A104A"/>
    <w:rsid w:val="006A158C"/>
    <w:rsid w:val="006A189A"/>
    <w:rsid w:val="006A1938"/>
    <w:rsid w:val="006A1BD9"/>
    <w:rsid w:val="006A1CEB"/>
    <w:rsid w:val="006A1D13"/>
    <w:rsid w:val="006A20E5"/>
    <w:rsid w:val="006A231D"/>
    <w:rsid w:val="006A256B"/>
    <w:rsid w:val="006A28D6"/>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7AC"/>
    <w:rsid w:val="006B09B1"/>
    <w:rsid w:val="006B1298"/>
    <w:rsid w:val="006B1923"/>
    <w:rsid w:val="006B1CFA"/>
    <w:rsid w:val="006B260C"/>
    <w:rsid w:val="006B2E18"/>
    <w:rsid w:val="006B30BA"/>
    <w:rsid w:val="006B38D4"/>
    <w:rsid w:val="006B3D4C"/>
    <w:rsid w:val="006B445B"/>
    <w:rsid w:val="006B541F"/>
    <w:rsid w:val="006B5DC9"/>
    <w:rsid w:val="006B65F2"/>
    <w:rsid w:val="006B66F8"/>
    <w:rsid w:val="006B6C8C"/>
    <w:rsid w:val="006B6CDF"/>
    <w:rsid w:val="006B7604"/>
    <w:rsid w:val="006B77FE"/>
    <w:rsid w:val="006B7869"/>
    <w:rsid w:val="006B7A32"/>
    <w:rsid w:val="006C0088"/>
    <w:rsid w:val="006C0CC8"/>
    <w:rsid w:val="006C19AD"/>
    <w:rsid w:val="006C1D0E"/>
    <w:rsid w:val="006C1FFC"/>
    <w:rsid w:val="006C2192"/>
    <w:rsid w:val="006C2227"/>
    <w:rsid w:val="006C2237"/>
    <w:rsid w:val="006C2A33"/>
    <w:rsid w:val="006C3391"/>
    <w:rsid w:val="006C3957"/>
    <w:rsid w:val="006C3C53"/>
    <w:rsid w:val="006C3CBA"/>
    <w:rsid w:val="006C3E30"/>
    <w:rsid w:val="006C3E96"/>
    <w:rsid w:val="006C4923"/>
    <w:rsid w:val="006C4AC7"/>
    <w:rsid w:val="006C511D"/>
    <w:rsid w:val="006C5F50"/>
    <w:rsid w:val="006D0435"/>
    <w:rsid w:val="006D05EF"/>
    <w:rsid w:val="006D0878"/>
    <w:rsid w:val="006D0BDD"/>
    <w:rsid w:val="006D0BE5"/>
    <w:rsid w:val="006D0CB8"/>
    <w:rsid w:val="006D0CDA"/>
    <w:rsid w:val="006D150F"/>
    <w:rsid w:val="006D231F"/>
    <w:rsid w:val="006D23E7"/>
    <w:rsid w:val="006D2762"/>
    <w:rsid w:val="006D2A1D"/>
    <w:rsid w:val="006D32D2"/>
    <w:rsid w:val="006D3E7B"/>
    <w:rsid w:val="006D41C9"/>
    <w:rsid w:val="006D48F6"/>
    <w:rsid w:val="006D5920"/>
    <w:rsid w:val="006D59CA"/>
    <w:rsid w:val="006D5D86"/>
    <w:rsid w:val="006D6A01"/>
    <w:rsid w:val="006D7DAF"/>
    <w:rsid w:val="006E0126"/>
    <w:rsid w:val="006E0848"/>
    <w:rsid w:val="006E0FCC"/>
    <w:rsid w:val="006E1450"/>
    <w:rsid w:val="006E28B4"/>
    <w:rsid w:val="006E3494"/>
    <w:rsid w:val="006E42A9"/>
    <w:rsid w:val="006E4C76"/>
    <w:rsid w:val="006E556E"/>
    <w:rsid w:val="006E5C0D"/>
    <w:rsid w:val="006E67A9"/>
    <w:rsid w:val="006E6FF8"/>
    <w:rsid w:val="006E7584"/>
    <w:rsid w:val="006F0B48"/>
    <w:rsid w:val="006F0C51"/>
    <w:rsid w:val="006F1710"/>
    <w:rsid w:val="006F1D0E"/>
    <w:rsid w:val="006F1F52"/>
    <w:rsid w:val="006F2368"/>
    <w:rsid w:val="006F2601"/>
    <w:rsid w:val="006F2B93"/>
    <w:rsid w:val="006F2C93"/>
    <w:rsid w:val="006F4258"/>
    <w:rsid w:val="006F45A3"/>
    <w:rsid w:val="006F4A3B"/>
    <w:rsid w:val="006F4DE0"/>
    <w:rsid w:val="006F525D"/>
    <w:rsid w:val="006F6278"/>
    <w:rsid w:val="006F7BB8"/>
    <w:rsid w:val="006F7F58"/>
    <w:rsid w:val="00700FC6"/>
    <w:rsid w:val="00701022"/>
    <w:rsid w:val="00701092"/>
    <w:rsid w:val="007016CB"/>
    <w:rsid w:val="0070184D"/>
    <w:rsid w:val="00701876"/>
    <w:rsid w:val="00701DDF"/>
    <w:rsid w:val="00702247"/>
    <w:rsid w:val="007033F1"/>
    <w:rsid w:val="00704AA2"/>
    <w:rsid w:val="00704B50"/>
    <w:rsid w:val="00704CBD"/>
    <w:rsid w:val="0070597A"/>
    <w:rsid w:val="007059E9"/>
    <w:rsid w:val="00705DC2"/>
    <w:rsid w:val="0070655B"/>
    <w:rsid w:val="007070B4"/>
    <w:rsid w:val="00707536"/>
    <w:rsid w:val="00707856"/>
    <w:rsid w:val="00707DE3"/>
    <w:rsid w:val="00710292"/>
    <w:rsid w:val="00713474"/>
    <w:rsid w:val="00713861"/>
    <w:rsid w:val="00714054"/>
    <w:rsid w:val="00714083"/>
    <w:rsid w:val="00714146"/>
    <w:rsid w:val="00716559"/>
    <w:rsid w:val="00716C9E"/>
    <w:rsid w:val="00717E16"/>
    <w:rsid w:val="007205F0"/>
    <w:rsid w:val="0072127E"/>
    <w:rsid w:val="007215B3"/>
    <w:rsid w:val="00721E68"/>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2C34"/>
    <w:rsid w:val="007330F1"/>
    <w:rsid w:val="00733153"/>
    <w:rsid w:val="007338D1"/>
    <w:rsid w:val="00733B22"/>
    <w:rsid w:val="007347A2"/>
    <w:rsid w:val="00734D7F"/>
    <w:rsid w:val="00734F3D"/>
    <w:rsid w:val="007356DE"/>
    <w:rsid w:val="007356EE"/>
    <w:rsid w:val="00735C72"/>
    <w:rsid w:val="007362C7"/>
    <w:rsid w:val="00736789"/>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C60"/>
    <w:rsid w:val="00746F94"/>
    <w:rsid w:val="00746FB8"/>
    <w:rsid w:val="00746FC8"/>
    <w:rsid w:val="00747235"/>
    <w:rsid w:val="00747C97"/>
    <w:rsid w:val="00747CEF"/>
    <w:rsid w:val="0075028B"/>
    <w:rsid w:val="00750D85"/>
    <w:rsid w:val="00750D90"/>
    <w:rsid w:val="00751041"/>
    <w:rsid w:val="00751196"/>
    <w:rsid w:val="00752B74"/>
    <w:rsid w:val="00752DC9"/>
    <w:rsid w:val="00752E07"/>
    <w:rsid w:val="00752FEA"/>
    <w:rsid w:val="00753B52"/>
    <w:rsid w:val="00753BD5"/>
    <w:rsid w:val="007540D2"/>
    <w:rsid w:val="0075457C"/>
    <w:rsid w:val="00755213"/>
    <w:rsid w:val="0075523F"/>
    <w:rsid w:val="00755E79"/>
    <w:rsid w:val="00756916"/>
    <w:rsid w:val="00756A61"/>
    <w:rsid w:val="00756F86"/>
    <w:rsid w:val="0075735D"/>
    <w:rsid w:val="0075777A"/>
    <w:rsid w:val="0076013E"/>
    <w:rsid w:val="00760921"/>
    <w:rsid w:val="0076128E"/>
    <w:rsid w:val="00761A68"/>
    <w:rsid w:val="0076266C"/>
    <w:rsid w:val="0076334C"/>
    <w:rsid w:val="007645ED"/>
    <w:rsid w:val="00765002"/>
    <w:rsid w:val="007675F7"/>
    <w:rsid w:val="0077091F"/>
    <w:rsid w:val="00771266"/>
    <w:rsid w:val="00771B21"/>
    <w:rsid w:val="00772036"/>
    <w:rsid w:val="0077203D"/>
    <w:rsid w:val="00772114"/>
    <w:rsid w:val="00772150"/>
    <w:rsid w:val="007721E3"/>
    <w:rsid w:val="00772B31"/>
    <w:rsid w:val="00773546"/>
    <w:rsid w:val="00773B71"/>
    <w:rsid w:val="00774BE0"/>
    <w:rsid w:val="00775496"/>
    <w:rsid w:val="00775850"/>
    <w:rsid w:val="00775910"/>
    <w:rsid w:val="0077637F"/>
    <w:rsid w:val="00776534"/>
    <w:rsid w:val="007768AE"/>
    <w:rsid w:val="00776F7B"/>
    <w:rsid w:val="00777322"/>
    <w:rsid w:val="00777C1D"/>
    <w:rsid w:val="00777C6B"/>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28C"/>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1B4E"/>
    <w:rsid w:val="0079289A"/>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2B5B"/>
    <w:rsid w:val="007A3506"/>
    <w:rsid w:val="007A372A"/>
    <w:rsid w:val="007A3BD1"/>
    <w:rsid w:val="007A4153"/>
    <w:rsid w:val="007A46C9"/>
    <w:rsid w:val="007A51CA"/>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BF1"/>
    <w:rsid w:val="007D0D57"/>
    <w:rsid w:val="007D1936"/>
    <w:rsid w:val="007D1D33"/>
    <w:rsid w:val="007D2640"/>
    <w:rsid w:val="007D2656"/>
    <w:rsid w:val="007D27C9"/>
    <w:rsid w:val="007D2D2D"/>
    <w:rsid w:val="007D2FDA"/>
    <w:rsid w:val="007D3048"/>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4E5"/>
    <w:rsid w:val="00802C82"/>
    <w:rsid w:val="008033B8"/>
    <w:rsid w:val="008033C1"/>
    <w:rsid w:val="00803689"/>
    <w:rsid w:val="00803D71"/>
    <w:rsid w:val="00803DDC"/>
    <w:rsid w:val="00803EBA"/>
    <w:rsid w:val="0080498C"/>
    <w:rsid w:val="008049DB"/>
    <w:rsid w:val="008054B4"/>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062"/>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4A7C"/>
    <w:rsid w:val="0082530D"/>
    <w:rsid w:val="00825530"/>
    <w:rsid w:val="00827280"/>
    <w:rsid w:val="008275A6"/>
    <w:rsid w:val="00827773"/>
    <w:rsid w:val="00827B06"/>
    <w:rsid w:val="00827E2A"/>
    <w:rsid w:val="00830148"/>
    <w:rsid w:val="00830A50"/>
    <w:rsid w:val="00830AF2"/>
    <w:rsid w:val="00830BFC"/>
    <w:rsid w:val="00830D20"/>
    <w:rsid w:val="00830EAB"/>
    <w:rsid w:val="008310D2"/>
    <w:rsid w:val="00831F24"/>
    <w:rsid w:val="00832458"/>
    <w:rsid w:val="00832573"/>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419"/>
    <w:rsid w:val="00856618"/>
    <w:rsid w:val="008566CA"/>
    <w:rsid w:val="0085682D"/>
    <w:rsid w:val="008568C5"/>
    <w:rsid w:val="00856B2E"/>
    <w:rsid w:val="008576E8"/>
    <w:rsid w:val="008610C6"/>
    <w:rsid w:val="00861804"/>
    <w:rsid w:val="00862584"/>
    <w:rsid w:val="00862D18"/>
    <w:rsid w:val="0086305F"/>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4C88"/>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7DB"/>
    <w:rsid w:val="00887AA2"/>
    <w:rsid w:val="008900AB"/>
    <w:rsid w:val="0089018B"/>
    <w:rsid w:val="00890AC9"/>
    <w:rsid w:val="008916E6"/>
    <w:rsid w:val="00891B0F"/>
    <w:rsid w:val="00892147"/>
    <w:rsid w:val="0089263D"/>
    <w:rsid w:val="008926B9"/>
    <w:rsid w:val="00892B86"/>
    <w:rsid w:val="00892BD6"/>
    <w:rsid w:val="008935B1"/>
    <w:rsid w:val="00893F4C"/>
    <w:rsid w:val="008940AA"/>
    <w:rsid w:val="00894579"/>
    <w:rsid w:val="00894649"/>
    <w:rsid w:val="00895364"/>
    <w:rsid w:val="008959FD"/>
    <w:rsid w:val="00895C6B"/>
    <w:rsid w:val="00895F61"/>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A7F"/>
    <w:rsid w:val="008B6DA0"/>
    <w:rsid w:val="008B6E0E"/>
    <w:rsid w:val="008B6E62"/>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94E"/>
    <w:rsid w:val="008C7B9B"/>
    <w:rsid w:val="008C7FF7"/>
    <w:rsid w:val="008D07A1"/>
    <w:rsid w:val="008D0D6B"/>
    <w:rsid w:val="008D0E73"/>
    <w:rsid w:val="008D14B9"/>
    <w:rsid w:val="008D1648"/>
    <w:rsid w:val="008D16DD"/>
    <w:rsid w:val="008D2745"/>
    <w:rsid w:val="008D2A84"/>
    <w:rsid w:val="008D3C40"/>
    <w:rsid w:val="008D4D1D"/>
    <w:rsid w:val="008D50BF"/>
    <w:rsid w:val="008D5D67"/>
    <w:rsid w:val="008D5F2F"/>
    <w:rsid w:val="008D6448"/>
    <w:rsid w:val="008D66D8"/>
    <w:rsid w:val="008D682A"/>
    <w:rsid w:val="008D751E"/>
    <w:rsid w:val="008D7E7E"/>
    <w:rsid w:val="008E02A6"/>
    <w:rsid w:val="008E02FA"/>
    <w:rsid w:val="008E1751"/>
    <w:rsid w:val="008E1873"/>
    <w:rsid w:val="008E1922"/>
    <w:rsid w:val="008E1CD3"/>
    <w:rsid w:val="008E1F25"/>
    <w:rsid w:val="008E27CB"/>
    <w:rsid w:val="008E2AE3"/>
    <w:rsid w:val="008E449D"/>
    <w:rsid w:val="008E4F42"/>
    <w:rsid w:val="008E5072"/>
    <w:rsid w:val="008E57B4"/>
    <w:rsid w:val="008E58A8"/>
    <w:rsid w:val="008E6374"/>
    <w:rsid w:val="008E6791"/>
    <w:rsid w:val="008E72A7"/>
    <w:rsid w:val="008E7C43"/>
    <w:rsid w:val="008F0232"/>
    <w:rsid w:val="008F04AE"/>
    <w:rsid w:val="008F0682"/>
    <w:rsid w:val="008F06E3"/>
    <w:rsid w:val="008F1581"/>
    <w:rsid w:val="008F23FE"/>
    <w:rsid w:val="008F279E"/>
    <w:rsid w:val="008F2820"/>
    <w:rsid w:val="008F2C96"/>
    <w:rsid w:val="008F3767"/>
    <w:rsid w:val="008F3AB4"/>
    <w:rsid w:val="008F432B"/>
    <w:rsid w:val="008F43F9"/>
    <w:rsid w:val="008F4452"/>
    <w:rsid w:val="008F4F69"/>
    <w:rsid w:val="008F4FFD"/>
    <w:rsid w:val="008F53DF"/>
    <w:rsid w:val="008F54DD"/>
    <w:rsid w:val="008F6E39"/>
    <w:rsid w:val="008F72A3"/>
    <w:rsid w:val="00900327"/>
    <w:rsid w:val="00900473"/>
    <w:rsid w:val="009007BB"/>
    <w:rsid w:val="00900ED9"/>
    <w:rsid w:val="009013F6"/>
    <w:rsid w:val="00901880"/>
    <w:rsid w:val="009018CE"/>
    <w:rsid w:val="00901D16"/>
    <w:rsid w:val="00901EB2"/>
    <w:rsid w:val="00902AA5"/>
    <w:rsid w:val="00904000"/>
    <w:rsid w:val="00904F14"/>
    <w:rsid w:val="0090562E"/>
    <w:rsid w:val="00905A66"/>
    <w:rsid w:val="00905DB4"/>
    <w:rsid w:val="00905F41"/>
    <w:rsid w:val="00906446"/>
    <w:rsid w:val="00906459"/>
    <w:rsid w:val="009068B9"/>
    <w:rsid w:val="00906C94"/>
    <w:rsid w:val="009071BB"/>
    <w:rsid w:val="00910402"/>
    <w:rsid w:val="00911100"/>
    <w:rsid w:val="00911F3B"/>
    <w:rsid w:val="009130F8"/>
    <w:rsid w:val="00913249"/>
    <w:rsid w:val="00913494"/>
    <w:rsid w:val="00913699"/>
    <w:rsid w:val="00913C46"/>
    <w:rsid w:val="00913E4F"/>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436"/>
    <w:rsid w:val="00924A9F"/>
    <w:rsid w:val="00925042"/>
    <w:rsid w:val="009251E0"/>
    <w:rsid w:val="009257E0"/>
    <w:rsid w:val="009269BD"/>
    <w:rsid w:val="00926AA3"/>
    <w:rsid w:val="00926E00"/>
    <w:rsid w:val="00926E34"/>
    <w:rsid w:val="0093031B"/>
    <w:rsid w:val="00930B44"/>
    <w:rsid w:val="00931225"/>
    <w:rsid w:val="0093126B"/>
    <w:rsid w:val="0093128F"/>
    <w:rsid w:val="00931D72"/>
    <w:rsid w:val="00932256"/>
    <w:rsid w:val="00932288"/>
    <w:rsid w:val="00932774"/>
    <w:rsid w:val="00932A7C"/>
    <w:rsid w:val="0093324D"/>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E19"/>
    <w:rsid w:val="00944F50"/>
    <w:rsid w:val="00945199"/>
    <w:rsid w:val="009457AA"/>
    <w:rsid w:val="00945A29"/>
    <w:rsid w:val="009463D5"/>
    <w:rsid w:val="00946797"/>
    <w:rsid w:val="00946800"/>
    <w:rsid w:val="00946822"/>
    <w:rsid w:val="0094706D"/>
    <w:rsid w:val="0094795A"/>
    <w:rsid w:val="00947C03"/>
    <w:rsid w:val="009511EB"/>
    <w:rsid w:val="00951870"/>
    <w:rsid w:val="00951EE6"/>
    <w:rsid w:val="00952051"/>
    <w:rsid w:val="00953ABF"/>
    <w:rsid w:val="00953D69"/>
    <w:rsid w:val="00954226"/>
    <w:rsid w:val="00954658"/>
    <w:rsid w:val="00954D8E"/>
    <w:rsid w:val="00956153"/>
    <w:rsid w:val="009561B4"/>
    <w:rsid w:val="009565AE"/>
    <w:rsid w:val="00956AA3"/>
    <w:rsid w:val="009574B7"/>
    <w:rsid w:val="009605F6"/>
    <w:rsid w:val="00960662"/>
    <w:rsid w:val="00960BD9"/>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219F"/>
    <w:rsid w:val="00973366"/>
    <w:rsid w:val="00973DF4"/>
    <w:rsid w:val="00974624"/>
    <w:rsid w:val="00975087"/>
    <w:rsid w:val="00975C59"/>
    <w:rsid w:val="009760F9"/>
    <w:rsid w:val="00976215"/>
    <w:rsid w:val="00976309"/>
    <w:rsid w:val="009773D6"/>
    <w:rsid w:val="00977491"/>
    <w:rsid w:val="00977C0C"/>
    <w:rsid w:val="00980588"/>
    <w:rsid w:val="00980C2C"/>
    <w:rsid w:val="00982626"/>
    <w:rsid w:val="00982A19"/>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CC7"/>
    <w:rsid w:val="00991D80"/>
    <w:rsid w:val="00991EA5"/>
    <w:rsid w:val="009920AC"/>
    <w:rsid w:val="009923F6"/>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882"/>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1C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B70E8"/>
    <w:rsid w:val="009C0631"/>
    <w:rsid w:val="009C0C86"/>
    <w:rsid w:val="009C1008"/>
    <w:rsid w:val="009C1809"/>
    <w:rsid w:val="009C1AFF"/>
    <w:rsid w:val="009C206C"/>
    <w:rsid w:val="009C218C"/>
    <w:rsid w:val="009C21E3"/>
    <w:rsid w:val="009C222F"/>
    <w:rsid w:val="009C25F1"/>
    <w:rsid w:val="009C2C60"/>
    <w:rsid w:val="009C372E"/>
    <w:rsid w:val="009C3B12"/>
    <w:rsid w:val="009C3DBD"/>
    <w:rsid w:val="009C3EC8"/>
    <w:rsid w:val="009C4186"/>
    <w:rsid w:val="009C47F5"/>
    <w:rsid w:val="009C4C4F"/>
    <w:rsid w:val="009C53AE"/>
    <w:rsid w:val="009C59C1"/>
    <w:rsid w:val="009C5AD0"/>
    <w:rsid w:val="009C6134"/>
    <w:rsid w:val="009C6703"/>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372"/>
    <w:rsid w:val="009E1E04"/>
    <w:rsid w:val="009E1FF9"/>
    <w:rsid w:val="009E31F4"/>
    <w:rsid w:val="009E38CE"/>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CDD"/>
    <w:rsid w:val="009F1D5A"/>
    <w:rsid w:val="009F1DEF"/>
    <w:rsid w:val="009F2418"/>
    <w:rsid w:val="009F2588"/>
    <w:rsid w:val="009F36C5"/>
    <w:rsid w:val="009F3CE4"/>
    <w:rsid w:val="009F3D5F"/>
    <w:rsid w:val="009F51A2"/>
    <w:rsid w:val="009F5F4C"/>
    <w:rsid w:val="009F6D94"/>
    <w:rsid w:val="009F7480"/>
    <w:rsid w:val="009F7689"/>
    <w:rsid w:val="009F7EC1"/>
    <w:rsid w:val="00A00170"/>
    <w:rsid w:val="00A00BB2"/>
    <w:rsid w:val="00A013B0"/>
    <w:rsid w:val="00A01E51"/>
    <w:rsid w:val="00A03C6A"/>
    <w:rsid w:val="00A04285"/>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51"/>
    <w:rsid w:val="00A13A89"/>
    <w:rsid w:val="00A13AA8"/>
    <w:rsid w:val="00A13FE3"/>
    <w:rsid w:val="00A14158"/>
    <w:rsid w:val="00A14256"/>
    <w:rsid w:val="00A146AA"/>
    <w:rsid w:val="00A14BAC"/>
    <w:rsid w:val="00A14D5C"/>
    <w:rsid w:val="00A153D0"/>
    <w:rsid w:val="00A154F9"/>
    <w:rsid w:val="00A158CC"/>
    <w:rsid w:val="00A15D6B"/>
    <w:rsid w:val="00A16271"/>
    <w:rsid w:val="00A1666B"/>
    <w:rsid w:val="00A16954"/>
    <w:rsid w:val="00A17BA4"/>
    <w:rsid w:val="00A207DC"/>
    <w:rsid w:val="00A20CEB"/>
    <w:rsid w:val="00A21118"/>
    <w:rsid w:val="00A219FC"/>
    <w:rsid w:val="00A21F8C"/>
    <w:rsid w:val="00A22284"/>
    <w:rsid w:val="00A22977"/>
    <w:rsid w:val="00A23A82"/>
    <w:rsid w:val="00A23B89"/>
    <w:rsid w:val="00A241F9"/>
    <w:rsid w:val="00A24437"/>
    <w:rsid w:val="00A24862"/>
    <w:rsid w:val="00A252B6"/>
    <w:rsid w:val="00A2544C"/>
    <w:rsid w:val="00A25767"/>
    <w:rsid w:val="00A25FFF"/>
    <w:rsid w:val="00A2607B"/>
    <w:rsid w:val="00A26CCB"/>
    <w:rsid w:val="00A27980"/>
    <w:rsid w:val="00A27A38"/>
    <w:rsid w:val="00A27B3B"/>
    <w:rsid w:val="00A27C3C"/>
    <w:rsid w:val="00A27D03"/>
    <w:rsid w:val="00A27DB4"/>
    <w:rsid w:val="00A30E89"/>
    <w:rsid w:val="00A314A0"/>
    <w:rsid w:val="00A31598"/>
    <w:rsid w:val="00A319C1"/>
    <w:rsid w:val="00A31ADE"/>
    <w:rsid w:val="00A31C7D"/>
    <w:rsid w:val="00A320DB"/>
    <w:rsid w:val="00A3249C"/>
    <w:rsid w:val="00A32A75"/>
    <w:rsid w:val="00A33C93"/>
    <w:rsid w:val="00A3410E"/>
    <w:rsid w:val="00A35ACD"/>
    <w:rsid w:val="00A35AFF"/>
    <w:rsid w:val="00A36A84"/>
    <w:rsid w:val="00A370B4"/>
    <w:rsid w:val="00A37836"/>
    <w:rsid w:val="00A37C79"/>
    <w:rsid w:val="00A40288"/>
    <w:rsid w:val="00A406E6"/>
    <w:rsid w:val="00A409A3"/>
    <w:rsid w:val="00A41771"/>
    <w:rsid w:val="00A41B17"/>
    <w:rsid w:val="00A421B2"/>
    <w:rsid w:val="00A42796"/>
    <w:rsid w:val="00A4292D"/>
    <w:rsid w:val="00A42E17"/>
    <w:rsid w:val="00A4329A"/>
    <w:rsid w:val="00A4334A"/>
    <w:rsid w:val="00A43DB0"/>
    <w:rsid w:val="00A43F59"/>
    <w:rsid w:val="00A443E2"/>
    <w:rsid w:val="00A44D4F"/>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190"/>
    <w:rsid w:val="00A56340"/>
    <w:rsid w:val="00A57A69"/>
    <w:rsid w:val="00A57C92"/>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6EE2"/>
    <w:rsid w:val="00A874D2"/>
    <w:rsid w:val="00A87BAE"/>
    <w:rsid w:val="00A90976"/>
    <w:rsid w:val="00A913A1"/>
    <w:rsid w:val="00A91ACB"/>
    <w:rsid w:val="00A91AF5"/>
    <w:rsid w:val="00A92584"/>
    <w:rsid w:val="00A925A7"/>
    <w:rsid w:val="00A925DB"/>
    <w:rsid w:val="00A930BB"/>
    <w:rsid w:val="00A933F4"/>
    <w:rsid w:val="00A93DC6"/>
    <w:rsid w:val="00A94354"/>
    <w:rsid w:val="00A94796"/>
    <w:rsid w:val="00A94CEF"/>
    <w:rsid w:val="00A9501F"/>
    <w:rsid w:val="00A951AC"/>
    <w:rsid w:val="00A951C2"/>
    <w:rsid w:val="00A95452"/>
    <w:rsid w:val="00A95DFD"/>
    <w:rsid w:val="00A95EE0"/>
    <w:rsid w:val="00A96EF6"/>
    <w:rsid w:val="00AA0925"/>
    <w:rsid w:val="00AA096E"/>
    <w:rsid w:val="00AA0D9E"/>
    <w:rsid w:val="00AA1293"/>
    <w:rsid w:val="00AA14C3"/>
    <w:rsid w:val="00AA188D"/>
    <w:rsid w:val="00AA3EDF"/>
    <w:rsid w:val="00AA411A"/>
    <w:rsid w:val="00AA4220"/>
    <w:rsid w:val="00AA4239"/>
    <w:rsid w:val="00AA4D46"/>
    <w:rsid w:val="00AA54AE"/>
    <w:rsid w:val="00AA5F04"/>
    <w:rsid w:val="00AA6816"/>
    <w:rsid w:val="00AA69E5"/>
    <w:rsid w:val="00AA6D4E"/>
    <w:rsid w:val="00AA73D0"/>
    <w:rsid w:val="00AA75CE"/>
    <w:rsid w:val="00AB023A"/>
    <w:rsid w:val="00AB0C43"/>
    <w:rsid w:val="00AB1082"/>
    <w:rsid w:val="00AB1098"/>
    <w:rsid w:val="00AB1102"/>
    <w:rsid w:val="00AB173C"/>
    <w:rsid w:val="00AB1B38"/>
    <w:rsid w:val="00AB1E82"/>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030"/>
    <w:rsid w:val="00AC1A14"/>
    <w:rsid w:val="00AC2121"/>
    <w:rsid w:val="00AC2A94"/>
    <w:rsid w:val="00AC322C"/>
    <w:rsid w:val="00AC33E2"/>
    <w:rsid w:val="00AC3674"/>
    <w:rsid w:val="00AC3F97"/>
    <w:rsid w:val="00AC4466"/>
    <w:rsid w:val="00AC4A20"/>
    <w:rsid w:val="00AC4FEA"/>
    <w:rsid w:val="00AC5213"/>
    <w:rsid w:val="00AC53F3"/>
    <w:rsid w:val="00AC584E"/>
    <w:rsid w:val="00AC5B6E"/>
    <w:rsid w:val="00AC5E1A"/>
    <w:rsid w:val="00AC70F7"/>
    <w:rsid w:val="00AC7B80"/>
    <w:rsid w:val="00AC7D80"/>
    <w:rsid w:val="00AD073E"/>
    <w:rsid w:val="00AD0A32"/>
    <w:rsid w:val="00AD1442"/>
    <w:rsid w:val="00AD14AB"/>
    <w:rsid w:val="00AD1B73"/>
    <w:rsid w:val="00AD20ED"/>
    <w:rsid w:val="00AD20FA"/>
    <w:rsid w:val="00AD26B9"/>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CD"/>
    <w:rsid w:val="00AE43F4"/>
    <w:rsid w:val="00AE5099"/>
    <w:rsid w:val="00AE50D3"/>
    <w:rsid w:val="00AE606A"/>
    <w:rsid w:val="00AE6F21"/>
    <w:rsid w:val="00AF013B"/>
    <w:rsid w:val="00AF0A66"/>
    <w:rsid w:val="00AF0CF8"/>
    <w:rsid w:val="00AF1658"/>
    <w:rsid w:val="00AF262C"/>
    <w:rsid w:val="00AF2A5A"/>
    <w:rsid w:val="00AF4049"/>
    <w:rsid w:val="00AF415A"/>
    <w:rsid w:val="00AF44F2"/>
    <w:rsid w:val="00AF4950"/>
    <w:rsid w:val="00AF53AB"/>
    <w:rsid w:val="00AF53BA"/>
    <w:rsid w:val="00AF64D9"/>
    <w:rsid w:val="00AF69B4"/>
    <w:rsid w:val="00AF717B"/>
    <w:rsid w:val="00B00A2E"/>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191"/>
    <w:rsid w:val="00B12F04"/>
    <w:rsid w:val="00B13082"/>
    <w:rsid w:val="00B134E7"/>
    <w:rsid w:val="00B13A79"/>
    <w:rsid w:val="00B14075"/>
    <w:rsid w:val="00B14FC0"/>
    <w:rsid w:val="00B159F7"/>
    <w:rsid w:val="00B16524"/>
    <w:rsid w:val="00B165E7"/>
    <w:rsid w:val="00B16E86"/>
    <w:rsid w:val="00B170A8"/>
    <w:rsid w:val="00B17C0B"/>
    <w:rsid w:val="00B20364"/>
    <w:rsid w:val="00B20E6F"/>
    <w:rsid w:val="00B20EED"/>
    <w:rsid w:val="00B211F2"/>
    <w:rsid w:val="00B2130C"/>
    <w:rsid w:val="00B215D0"/>
    <w:rsid w:val="00B21EDE"/>
    <w:rsid w:val="00B222B9"/>
    <w:rsid w:val="00B2244B"/>
    <w:rsid w:val="00B226A9"/>
    <w:rsid w:val="00B2300D"/>
    <w:rsid w:val="00B2303C"/>
    <w:rsid w:val="00B230F6"/>
    <w:rsid w:val="00B23139"/>
    <w:rsid w:val="00B232D6"/>
    <w:rsid w:val="00B23307"/>
    <w:rsid w:val="00B23539"/>
    <w:rsid w:val="00B23551"/>
    <w:rsid w:val="00B24DC8"/>
    <w:rsid w:val="00B25335"/>
    <w:rsid w:val="00B25CBD"/>
    <w:rsid w:val="00B26391"/>
    <w:rsid w:val="00B26A06"/>
    <w:rsid w:val="00B27AD5"/>
    <w:rsid w:val="00B27F3D"/>
    <w:rsid w:val="00B30A36"/>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48A"/>
    <w:rsid w:val="00B46554"/>
    <w:rsid w:val="00B466F0"/>
    <w:rsid w:val="00B467BB"/>
    <w:rsid w:val="00B46AD1"/>
    <w:rsid w:val="00B47E3B"/>
    <w:rsid w:val="00B503B4"/>
    <w:rsid w:val="00B50892"/>
    <w:rsid w:val="00B50D91"/>
    <w:rsid w:val="00B50EE3"/>
    <w:rsid w:val="00B51057"/>
    <w:rsid w:val="00B511ED"/>
    <w:rsid w:val="00B51602"/>
    <w:rsid w:val="00B51F21"/>
    <w:rsid w:val="00B52273"/>
    <w:rsid w:val="00B52540"/>
    <w:rsid w:val="00B5371B"/>
    <w:rsid w:val="00B5399D"/>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2E27"/>
    <w:rsid w:val="00B64774"/>
    <w:rsid w:val="00B64E06"/>
    <w:rsid w:val="00B65A6A"/>
    <w:rsid w:val="00B65CB5"/>
    <w:rsid w:val="00B65D4A"/>
    <w:rsid w:val="00B65E12"/>
    <w:rsid w:val="00B668FC"/>
    <w:rsid w:val="00B66B65"/>
    <w:rsid w:val="00B66BB3"/>
    <w:rsid w:val="00B67E57"/>
    <w:rsid w:val="00B67EC2"/>
    <w:rsid w:val="00B7024C"/>
    <w:rsid w:val="00B70EBF"/>
    <w:rsid w:val="00B70EF2"/>
    <w:rsid w:val="00B70F06"/>
    <w:rsid w:val="00B7145B"/>
    <w:rsid w:val="00B71881"/>
    <w:rsid w:val="00B72FA4"/>
    <w:rsid w:val="00B7347B"/>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58A"/>
    <w:rsid w:val="00B81607"/>
    <w:rsid w:val="00B81787"/>
    <w:rsid w:val="00B81E23"/>
    <w:rsid w:val="00B8280A"/>
    <w:rsid w:val="00B83280"/>
    <w:rsid w:val="00B83638"/>
    <w:rsid w:val="00B838AA"/>
    <w:rsid w:val="00B83907"/>
    <w:rsid w:val="00B839BC"/>
    <w:rsid w:val="00B84400"/>
    <w:rsid w:val="00B84738"/>
    <w:rsid w:val="00B84B83"/>
    <w:rsid w:val="00B85057"/>
    <w:rsid w:val="00B85087"/>
    <w:rsid w:val="00B853F9"/>
    <w:rsid w:val="00B860D7"/>
    <w:rsid w:val="00B868DC"/>
    <w:rsid w:val="00B86FAD"/>
    <w:rsid w:val="00B87B8A"/>
    <w:rsid w:val="00B9190B"/>
    <w:rsid w:val="00B922DC"/>
    <w:rsid w:val="00B92342"/>
    <w:rsid w:val="00B92412"/>
    <w:rsid w:val="00B92971"/>
    <w:rsid w:val="00B92D1A"/>
    <w:rsid w:val="00B93445"/>
    <w:rsid w:val="00B939A1"/>
    <w:rsid w:val="00B93B87"/>
    <w:rsid w:val="00B9431E"/>
    <w:rsid w:val="00B9465D"/>
    <w:rsid w:val="00B9473D"/>
    <w:rsid w:val="00B94881"/>
    <w:rsid w:val="00B94C4F"/>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842"/>
    <w:rsid w:val="00BA4D41"/>
    <w:rsid w:val="00BA58AF"/>
    <w:rsid w:val="00BA58BB"/>
    <w:rsid w:val="00BA67FC"/>
    <w:rsid w:val="00BA6B8E"/>
    <w:rsid w:val="00BA7285"/>
    <w:rsid w:val="00BA7BE8"/>
    <w:rsid w:val="00BB01AF"/>
    <w:rsid w:val="00BB08F7"/>
    <w:rsid w:val="00BB0BA7"/>
    <w:rsid w:val="00BB0CA1"/>
    <w:rsid w:val="00BB133D"/>
    <w:rsid w:val="00BB1924"/>
    <w:rsid w:val="00BB26EB"/>
    <w:rsid w:val="00BB2C15"/>
    <w:rsid w:val="00BB3C8A"/>
    <w:rsid w:val="00BB4049"/>
    <w:rsid w:val="00BB5E0A"/>
    <w:rsid w:val="00BB6EA6"/>
    <w:rsid w:val="00BB7AF7"/>
    <w:rsid w:val="00BC00C1"/>
    <w:rsid w:val="00BC0230"/>
    <w:rsid w:val="00BC02CD"/>
    <w:rsid w:val="00BC0688"/>
    <w:rsid w:val="00BC1478"/>
    <w:rsid w:val="00BC1BFE"/>
    <w:rsid w:val="00BC2264"/>
    <w:rsid w:val="00BC2C3A"/>
    <w:rsid w:val="00BC3CE2"/>
    <w:rsid w:val="00BC3E3B"/>
    <w:rsid w:val="00BC450A"/>
    <w:rsid w:val="00BC52DE"/>
    <w:rsid w:val="00BC5902"/>
    <w:rsid w:val="00BC66E0"/>
    <w:rsid w:val="00BC69C6"/>
    <w:rsid w:val="00BC7775"/>
    <w:rsid w:val="00BC7956"/>
    <w:rsid w:val="00BD02E6"/>
    <w:rsid w:val="00BD065D"/>
    <w:rsid w:val="00BD0CF8"/>
    <w:rsid w:val="00BD0DDA"/>
    <w:rsid w:val="00BD1252"/>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3D6"/>
    <w:rsid w:val="00BD6C08"/>
    <w:rsid w:val="00BD7247"/>
    <w:rsid w:val="00BD72A6"/>
    <w:rsid w:val="00BD762F"/>
    <w:rsid w:val="00BD7D70"/>
    <w:rsid w:val="00BE087F"/>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5A7"/>
    <w:rsid w:val="00BF4674"/>
    <w:rsid w:val="00BF47B7"/>
    <w:rsid w:val="00BF5020"/>
    <w:rsid w:val="00BF55BA"/>
    <w:rsid w:val="00BF58F2"/>
    <w:rsid w:val="00BF590D"/>
    <w:rsid w:val="00BF5981"/>
    <w:rsid w:val="00BF5F58"/>
    <w:rsid w:val="00BF6637"/>
    <w:rsid w:val="00BF756C"/>
    <w:rsid w:val="00C024DF"/>
    <w:rsid w:val="00C028F9"/>
    <w:rsid w:val="00C0308D"/>
    <w:rsid w:val="00C035A7"/>
    <w:rsid w:val="00C0387C"/>
    <w:rsid w:val="00C03D79"/>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0DB6"/>
    <w:rsid w:val="00C11612"/>
    <w:rsid w:val="00C11B8C"/>
    <w:rsid w:val="00C12101"/>
    <w:rsid w:val="00C1230F"/>
    <w:rsid w:val="00C12EC3"/>
    <w:rsid w:val="00C134DF"/>
    <w:rsid w:val="00C137E0"/>
    <w:rsid w:val="00C13810"/>
    <w:rsid w:val="00C13934"/>
    <w:rsid w:val="00C13B21"/>
    <w:rsid w:val="00C13BCE"/>
    <w:rsid w:val="00C14234"/>
    <w:rsid w:val="00C14C9F"/>
    <w:rsid w:val="00C155CC"/>
    <w:rsid w:val="00C15941"/>
    <w:rsid w:val="00C15ABB"/>
    <w:rsid w:val="00C160D1"/>
    <w:rsid w:val="00C168BD"/>
    <w:rsid w:val="00C16B20"/>
    <w:rsid w:val="00C16E20"/>
    <w:rsid w:val="00C170CD"/>
    <w:rsid w:val="00C175D6"/>
    <w:rsid w:val="00C17EE4"/>
    <w:rsid w:val="00C2047B"/>
    <w:rsid w:val="00C20A4F"/>
    <w:rsid w:val="00C212A5"/>
    <w:rsid w:val="00C21801"/>
    <w:rsid w:val="00C21EE3"/>
    <w:rsid w:val="00C22FF7"/>
    <w:rsid w:val="00C2304D"/>
    <w:rsid w:val="00C236EB"/>
    <w:rsid w:val="00C23BE9"/>
    <w:rsid w:val="00C24016"/>
    <w:rsid w:val="00C24904"/>
    <w:rsid w:val="00C24933"/>
    <w:rsid w:val="00C2541E"/>
    <w:rsid w:val="00C25F86"/>
    <w:rsid w:val="00C2649C"/>
    <w:rsid w:val="00C26623"/>
    <w:rsid w:val="00C26685"/>
    <w:rsid w:val="00C26D74"/>
    <w:rsid w:val="00C30824"/>
    <w:rsid w:val="00C30F87"/>
    <w:rsid w:val="00C31595"/>
    <w:rsid w:val="00C31BD5"/>
    <w:rsid w:val="00C31BF8"/>
    <w:rsid w:val="00C3273C"/>
    <w:rsid w:val="00C32EC2"/>
    <w:rsid w:val="00C3307F"/>
    <w:rsid w:val="00C3319F"/>
    <w:rsid w:val="00C33D18"/>
    <w:rsid w:val="00C33F77"/>
    <w:rsid w:val="00C348FF"/>
    <w:rsid w:val="00C34CC3"/>
    <w:rsid w:val="00C34F30"/>
    <w:rsid w:val="00C363E7"/>
    <w:rsid w:val="00C3640A"/>
    <w:rsid w:val="00C36F96"/>
    <w:rsid w:val="00C3796D"/>
    <w:rsid w:val="00C4006C"/>
    <w:rsid w:val="00C4057F"/>
    <w:rsid w:val="00C405F4"/>
    <w:rsid w:val="00C40753"/>
    <w:rsid w:val="00C40815"/>
    <w:rsid w:val="00C40B89"/>
    <w:rsid w:val="00C40B90"/>
    <w:rsid w:val="00C41BEB"/>
    <w:rsid w:val="00C427A2"/>
    <w:rsid w:val="00C42E64"/>
    <w:rsid w:val="00C42FF6"/>
    <w:rsid w:val="00C43C61"/>
    <w:rsid w:val="00C43F21"/>
    <w:rsid w:val="00C441C2"/>
    <w:rsid w:val="00C4421D"/>
    <w:rsid w:val="00C46397"/>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978"/>
    <w:rsid w:val="00C56A7A"/>
    <w:rsid w:val="00C56BC5"/>
    <w:rsid w:val="00C56DB7"/>
    <w:rsid w:val="00C572FF"/>
    <w:rsid w:val="00C57991"/>
    <w:rsid w:val="00C60B64"/>
    <w:rsid w:val="00C60D23"/>
    <w:rsid w:val="00C6101E"/>
    <w:rsid w:val="00C613E0"/>
    <w:rsid w:val="00C615B8"/>
    <w:rsid w:val="00C61AFD"/>
    <w:rsid w:val="00C62D67"/>
    <w:rsid w:val="00C6356B"/>
    <w:rsid w:val="00C64963"/>
    <w:rsid w:val="00C652E2"/>
    <w:rsid w:val="00C653FB"/>
    <w:rsid w:val="00C656E5"/>
    <w:rsid w:val="00C65CBF"/>
    <w:rsid w:val="00C66344"/>
    <w:rsid w:val="00C66375"/>
    <w:rsid w:val="00C667D0"/>
    <w:rsid w:val="00C66AD7"/>
    <w:rsid w:val="00C66CDE"/>
    <w:rsid w:val="00C66D7C"/>
    <w:rsid w:val="00C66E3C"/>
    <w:rsid w:val="00C67EA5"/>
    <w:rsid w:val="00C70107"/>
    <w:rsid w:val="00C70449"/>
    <w:rsid w:val="00C70759"/>
    <w:rsid w:val="00C70B05"/>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CA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5C3B"/>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A6776"/>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211"/>
    <w:rsid w:val="00CB570A"/>
    <w:rsid w:val="00CB679C"/>
    <w:rsid w:val="00CB6A84"/>
    <w:rsid w:val="00CB6A85"/>
    <w:rsid w:val="00CB7121"/>
    <w:rsid w:val="00CB7364"/>
    <w:rsid w:val="00CB7C4A"/>
    <w:rsid w:val="00CB7DD9"/>
    <w:rsid w:val="00CB7ECC"/>
    <w:rsid w:val="00CC00DA"/>
    <w:rsid w:val="00CC0B1E"/>
    <w:rsid w:val="00CC0C76"/>
    <w:rsid w:val="00CC1475"/>
    <w:rsid w:val="00CC1632"/>
    <w:rsid w:val="00CC1DED"/>
    <w:rsid w:val="00CC319E"/>
    <w:rsid w:val="00CC336D"/>
    <w:rsid w:val="00CC340A"/>
    <w:rsid w:val="00CC36E9"/>
    <w:rsid w:val="00CC5AA0"/>
    <w:rsid w:val="00CC669A"/>
    <w:rsid w:val="00CC69B1"/>
    <w:rsid w:val="00CC75B6"/>
    <w:rsid w:val="00CC779B"/>
    <w:rsid w:val="00CD2730"/>
    <w:rsid w:val="00CD28B2"/>
    <w:rsid w:val="00CD2DD0"/>
    <w:rsid w:val="00CD2E3B"/>
    <w:rsid w:val="00CD33EE"/>
    <w:rsid w:val="00CD3776"/>
    <w:rsid w:val="00CD4D65"/>
    <w:rsid w:val="00CD4ED7"/>
    <w:rsid w:val="00CD55B1"/>
    <w:rsid w:val="00CD5680"/>
    <w:rsid w:val="00CD57E1"/>
    <w:rsid w:val="00CD59A3"/>
    <w:rsid w:val="00CD648D"/>
    <w:rsid w:val="00CD6B80"/>
    <w:rsid w:val="00CD7616"/>
    <w:rsid w:val="00CD775A"/>
    <w:rsid w:val="00CE01B5"/>
    <w:rsid w:val="00CE021F"/>
    <w:rsid w:val="00CE0B98"/>
    <w:rsid w:val="00CE1CD1"/>
    <w:rsid w:val="00CE2312"/>
    <w:rsid w:val="00CE2620"/>
    <w:rsid w:val="00CE336E"/>
    <w:rsid w:val="00CE374F"/>
    <w:rsid w:val="00CE384F"/>
    <w:rsid w:val="00CE3CDF"/>
    <w:rsid w:val="00CE3D08"/>
    <w:rsid w:val="00CE3E07"/>
    <w:rsid w:val="00CE3FEE"/>
    <w:rsid w:val="00CE455E"/>
    <w:rsid w:val="00CE47B3"/>
    <w:rsid w:val="00CE4F0D"/>
    <w:rsid w:val="00CE6640"/>
    <w:rsid w:val="00CE6768"/>
    <w:rsid w:val="00CE68A3"/>
    <w:rsid w:val="00CE7175"/>
    <w:rsid w:val="00CE79A8"/>
    <w:rsid w:val="00CE7E34"/>
    <w:rsid w:val="00CF0639"/>
    <w:rsid w:val="00CF0AE5"/>
    <w:rsid w:val="00CF14A0"/>
    <w:rsid w:val="00CF1737"/>
    <w:rsid w:val="00CF19DF"/>
    <w:rsid w:val="00CF1F8D"/>
    <w:rsid w:val="00CF2172"/>
    <w:rsid w:val="00CF25F6"/>
    <w:rsid w:val="00CF2BBB"/>
    <w:rsid w:val="00CF366B"/>
    <w:rsid w:val="00CF3B6C"/>
    <w:rsid w:val="00CF4074"/>
    <w:rsid w:val="00CF4810"/>
    <w:rsid w:val="00CF4D38"/>
    <w:rsid w:val="00CF4F1F"/>
    <w:rsid w:val="00CF4F47"/>
    <w:rsid w:val="00CF5030"/>
    <w:rsid w:val="00CF6A40"/>
    <w:rsid w:val="00CF6E9D"/>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517"/>
    <w:rsid w:val="00D109FA"/>
    <w:rsid w:val="00D11712"/>
    <w:rsid w:val="00D11EC0"/>
    <w:rsid w:val="00D120D2"/>
    <w:rsid w:val="00D1301C"/>
    <w:rsid w:val="00D131D1"/>
    <w:rsid w:val="00D13294"/>
    <w:rsid w:val="00D13666"/>
    <w:rsid w:val="00D13CB3"/>
    <w:rsid w:val="00D14D12"/>
    <w:rsid w:val="00D14EF2"/>
    <w:rsid w:val="00D15411"/>
    <w:rsid w:val="00D16B43"/>
    <w:rsid w:val="00D171C8"/>
    <w:rsid w:val="00D17C55"/>
    <w:rsid w:val="00D20137"/>
    <w:rsid w:val="00D208E6"/>
    <w:rsid w:val="00D20B09"/>
    <w:rsid w:val="00D21A55"/>
    <w:rsid w:val="00D223FB"/>
    <w:rsid w:val="00D224AD"/>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4B22"/>
    <w:rsid w:val="00D3511A"/>
    <w:rsid w:val="00D35F28"/>
    <w:rsid w:val="00D3672A"/>
    <w:rsid w:val="00D368A2"/>
    <w:rsid w:val="00D368FF"/>
    <w:rsid w:val="00D36D8E"/>
    <w:rsid w:val="00D37142"/>
    <w:rsid w:val="00D372A0"/>
    <w:rsid w:val="00D374D1"/>
    <w:rsid w:val="00D37596"/>
    <w:rsid w:val="00D37899"/>
    <w:rsid w:val="00D37FCE"/>
    <w:rsid w:val="00D40238"/>
    <w:rsid w:val="00D40D79"/>
    <w:rsid w:val="00D4117C"/>
    <w:rsid w:val="00D41258"/>
    <w:rsid w:val="00D432D3"/>
    <w:rsid w:val="00D43430"/>
    <w:rsid w:val="00D43441"/>
    <w:rsid w:val="00D439C3"/>
    <w:rsid w:val="00D43F3D"/>
    <w:rsid w:val="00D449C6"/>
    <w:rsid w:val="00D44A3B"/>
    <w:rsid w:val="00D451A0"/>
    <w:rsid w:val="00D451C2"/>
    <w:rsid w:val="00D45385"/>
    <w:rsid w:val="00D45546"/>
    <w:rsid w:val="00D45C34"/>
    <w:rsid w:val="00D4777F"/>
    <w:rsid w:val="00D478D3"/>
    <w:rsid w:val="00D5062B"/>
    <w:rsid w:val="00D50975"/>
    <w:rsid w:val="00D50B46"/>
    <w:rsid w:val="00D50B72"/>
    <w:rsid w:val="00D51867"/>
    <w:rsid w:val="00D51AC9"/>
    <w:rsid w:val="00D51AD4"/>
    <w:rsid w:val="00D52DBB"/>
    <w:rsid w:val="00D531B6"/>
    <w:rsid w:val="00D53530"/>
    <w:rsid w:val="00D5418D"/>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C1D"/>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3D6"/>
    <w:rsid w:val="00D857FE"/>
    <w:rsid w:val="00D859D8"/>
    <w:rsid w:val="00D8686B"/>
    <w:rsid w:val="00D86F69"/>
    <w:rsid w:val="00D86F82"/>
    <w:rsid w:val="00D87458"/>
    <w:rsid w:val="00D87A74"/>
    <w:rsid w:val="00D901F7"/>
    <w:rsid w:val="00D90311"/>
    <w:rsid w:val="00D907F2"/>
    <w:rsid w:val="00D910E2"/>
    <w:rsid w:val="00D913F3"/>
    <w:rsid w:val="00D915FF"/>
    <w:rsid w:val="00D91CC6"/>
    <w:rsid w:val="00D92BBF"/>
    <w:rsid w:val="00D933F6"/>
    <w:rsid w:val="00D9398B"/>
    <w:rsid w:val="00D93F68"/>
    <w:rsid w:val="00D94010"/>
    <w:rsid w:val="00D948C4"/>
    <w:rsid w:val="00D94A97"/>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1672"/>
    <w:rsid w:val="00DB2AEF"/>
    <w:rsid w:val="00DB2B51"/>
    <w:rsid w:val="00DB341C"/>
    <w:rsid w:val="00DB382B"/>
    <w:rsid w:val="00DB40CF"/>
    <w:rsid w:val="00DB4525"/>
    <w:rsid w:val="00DB47A5"/>
    <w:rsid w:val="00DB4BD3"/>
    <w:rsid w:val="00DB4D17"/>
    <w:rsid w:val="00DB5175"/>
    <w:rsid w:val="00DB614A"/>
    <w:rsid w:val="00DB6DD3"/>
    <w:rsid w:val="00DB7408"/>
    <w:rsid w:val="00DB79CB"/>
    <w:rsid w:val="00DB7CED"/>
    <w:rsid w:val="00DC09FC"/>
    <w:rsid w:val="00DC102C"/>
    <w:rsid w:val="00DC1E1B"/>
    <w:rsid w:val="00DC1EC8"/>
    <w:rsid w:val="00DC23B2"/>
    <w:rsid w:val="00DC2E18"/>
    <w:rsid w:val="00DC30FE"/>
    <w:rsid w:val="00DC3512"/>
    <w:rsid w:val="00DC385E"/>
    <w:rsid w:val="00DC3EC8"/>
    <w:rsid w:val="00DC4068"/>
    <w:rsid w:val="00DC4145"/>
    <w:rsid w:val="00DC493B"/>
    <w:rsid w:val="00DC6E62"/>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81E"/>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44E2"/>
    <w:rsid w:val="00DF465A"/>
    <w:rsid w:val="00DF58E5"/>
    <w:rsid w:val="00DF5BC6"/>
    <w:rsid w:val="00DF6527"/>
    <w:rsid w:val="00DF79E1"/>
    <w:rsid w:val="00DF7E57"/>
    <w:rsid w:val="00E000D0"/>
    <w:rsid w:val="00E00F2E"/>
    <w:rsid w:val="00E01525"/>
    <w:rsid w:val="00E0160E"/>
    <w:rsid w:val="00E0186E"/>
    <w:rsid w:val="00E01FE1"/>
    <w:rsid w:val="00E024B2"/>
    <w:rsid w:val="00E025CC"/>
    <w:rsid w:val="00E02F55"/>
    <w:rsid w:val="00E02FCC"/>
    <w:rsid w:val="00E03063"/>
    <w:rsid w:val="00E036B3"/>
    <w:rsid w:val="00E044C5"/>
    <w:rsid w:val="00E051B1"/>
    <w:rsid w:val="00E057EA"/>
    <w:rsid w:val="00E05E00"/>
    <w:rsid w:val="00E06357"/>
    <w:rsid w:val="00E0667E"/>
    <w:rsid w:val="00E06F09"/>
    <w:rsid w:val="00E06FAA"/>
    <w:rsid w:val="00E073FE"/>
    <w:rsid w:val="00E078A6"/>
    <w:rsid w:val="00E07916"/>
    <w:rsid w:val="00E07AA2"/>
    <w:rsid w:val="00E1015B"/>
    <w:rsid w:val="00E106AE"/>
    <w:rsid w:val="00E10723"/>
    <w:rsid w:val="00E11236"/>
    <w:rsid w:val="00E1164D"/>
    <w:rsid w:val="00E11A5C"/>
    <w:rsid w:val="00E11CCB"/>
    <w:rsid w:val="00E1223A"/>
    <w:rsid w:val="00E122A9"/>
    <w:rsid w:val="00E12447"/>
    <w:rsid w:val="00E12ABE"/>
    <w:rsid w:val="00E12E0E"/>
    <w:rsid w:val="00E12FC7"/>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DA4"/>
    <w:rsid w:val="00E23FAE"/>
    <w:rsid w:val="00E248F0"/>
    <w:rsid w:val="00E254BE"/>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359"/>
    <w:rsid w:val="00E35931"/>
    <w:rsid w:val="00E35D96"/>
    <w:rsid w:val="00E35F0A"/>
    <w:rsid w:val="00E363CF"/>
    <w:rsid w:val="00E36C49"/>
    <w:rsid w:val="00E36D49"/>
    <w:rsid w:val="00E36E14"/>
    <w:rsid w:val="00E374A1"/>
    <w:rsid w:val="00E37673"/>
    <w:rsid w:val="00E408E9"/>
    <w:rsid w:val="00E413F2"/>
    <w:rsid w:val="00E418F1"/>
    <w:rsid w:val="00E419DB"/>
    <w:rsid w:val="00E41C29"/>
    <w:rsid w:val="00E41D45"/>
    <w:rsid w:val="00E4238A"/>
    <w:rsid w:val="00E42C17"/>
    <w:rsid w:val="00E4324D"/>
    <w:rsid w:val="00E433F1"/>
    <w:rsid w:val="00E4443F"/>
    <w:rsid w:val="00E44935"/>
    <w:rsid w:val="00E4496D"/>
    <w:rsid w:val="00E4579A"/>
    <w:rsid w:val="00E46771"/>
    <w:rsid w:val="00E46958"/>
    <w:rsid w:val="00E46C4C"/>
    <w:rsid w:val="00E46E0B"/>
    <w:rsid w:val="00E471ED"/>
    <w:rsid w:val="00E478DA"/>
    <w:rsid w:val="00E479FF"/>
    <w:rsid w:val="00E47A53"/>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0FF"/>
    <w:rsid w:val="00E81376"/>
    <w:rsid w:val="00E8173D"/>
    <w:rsid w:val="00E81A7E"/>
    <w:rsid w:val="00E81B11"/>
    <w:rsid w:val="00E82FC8"/>
    <w:rsid w:val="00E83069"/>
    <w:rsid w:val="00E834BF"/>
    <w:rsid w:val="00E83987"/>
    <w:rsid w:val="00E84CC4"/>
    <w:rsid w:val="00E855B1"/>
    <w:rsid w:val="00E85E67"/>
    <w:rsid w:val="00E86621"/>
    <w:rsid w:val="00E86A0D"/>
    <w:rsid w:val="00E87BD5"/>
    <w:rsid w:val="00E87C5D"/>
    <w:rsid w:val="00E87C9B"/>
    <w:rsid w:val="00E90B12"/>
    <w:rsid w:val="00E90D43"/>
    <w:rsid w:val="00E912B1"/>
    <w:rsid w:val="00E921EF"/>
    <w:rsid w:val="00E927FD"/>
    <w:rsid w:val="00E92BF5"/>
    <w:rsid w:val="00E94E0B"/>
    <w:rsid w:val="00E94FD2"/>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4929"/>
    <w:rsid w:val="00EA4D9C"/>
    <w:rsid w:val="00EA5A78"/>
    <w:rsid w:val="00EA5DE5"/>
    <w:rsid w:val="00EA71D3"/>
    <w:rsid w:val="00EA781C"/>
    <w:rsid w:val="00EB051D"/>
    <w:rsid w:val="00EB1072"/>
    <w:rsid w:val="00EB1A14"/>
    <w:rsid w:val="00EB1ED2"/>
    <w:rsid w:val="00EB2610"/>
    <w:rsid w:val="00EB2D92"/>
    <w:rsid w:val="00EB3229"/>
    <w:rsid w:val="00EB341F"/>
    <w:rsid w:val="00EB36B5"/>
    <w:rsid w:val="00EB43C4"/>
    <w:rsid w:val="00EB5C2A"/>
    <w:rsid w:val="00EB686E"/>
    <w:rsid w:val="00EB6974"/>
    <w:rsid w:val="00EB6D6E"/>
    <w:rsid w:val="00EB7570"/>
    <w:rsid w:val="00EB7649"/>
    <w:rsid w:val="00EB76BD"/>
    <w:rsid w:val="00EC05A9"/>
    <w:rsid w:val="00EC07C5"/>
    <w:rsid w:val="00EC12D9"/>
    <w:rsid w:val="00EC2103"/>
    <w:rsid w:val="00EC27C8"/>
    <w:rsid w:val="00EC284D"/>
    <w:rsid w:val="00EC2BE5"/>
    <w:rsid w:val="00EC2CCA"/>
    <w:rsid w:val="00EC2E57"/>
    <w:rsid w:val="00EC2E71"/>
    <w:rsid w:val="00EC3A46"/>
    <w:rsid w:val="00EC3AA0"/>
    <w:rsid w:val="00EC4158"/>
    <w:rsid w:val="00EC4D53"/>
    <w:rsid w:val="00EC5347"/>
    <w:rsid w:val="00EC54E1"/>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5E22"/>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E7616"/>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4D8A"/>
    <w:rsid w:val="00EF50AF"/>
    <w:rsid w:val="00EF5363"/>
    <w:rsid w:val="00EF59B1"/>
    <w:rsid w:val="00EF59F2"/>
    <w:rsid w:val="00EF6153"/>
    <w:rsid w:val="00EF6176"/>
    <w:rsid w:val="00EF6E4E"/>
    <w:rsid w:val="00EF713B"/>
    <w:rsid w:val="00EF71AB"/>
    <w:rsid w:val="00EF74E7"/>
    <w:rsid w:val="00EF780A"/>
    <w:rsid w:val="00EF7B3E"/>
    <w:rsid w:val="00F0069B"/>
    <w:rsid w:val="00F01C37"/>
    <w:rsid w:val="00F01D44"/>
    <w:rsid w:val="00F01F24"/>
    <w:rsid w:val="00F020FB"/>
    <w:rsid w:val="00F02BF0"/>
    <w:rsid w:val="00F03C49"/>
    <w:rsid w:val="00F03F33"/>
    <w:rsid w:val="00F0432C"/>
    <w:rsid w:val="00F04516"/>
    <w:rsid w:val="00F06034"/>
    <w:rsid w:val="00F0780D"/>
    <w:rsid w:val="00F07A6D"/>
    <w:rsid w:val="00F100D2"/>
    <w:rsid w:val="00F1097C"/>
    <w:rsid w:val="00F121F0"/>
    <w:rsid w:val="00F123F4"/>
    <w:rsid w:val="00F12DCF"/>
    <w:rsid w:val="00F12DE2"/>
    <w:rsid w:val="00F12F63"/>
    <w:rsid w:val="00F1310D"/>
    <w:rsid w:val="00F133D6"/>
    <w:rsid w:val="00F13971"/>
    <w:rsid w:val="00F13C27"/>
    <w:rsid w:val="00F14133"/>
    <w:rsid w:val="00F144D6"/>
    <w:rsid w:val="00F14C5F"/>
    <w:rsid w:val="00F14FC4"/>
    <w:rsid w:val="00F1511E"/>
    <w:rsid w:val="00F15860"/>
    <w:rsid w:val="00F15A42"/>
    <w:rsid w:val="00F15DA5"/>
    <w:rsid w:val="00F16108"/>
    <w:rsid w:val="00F16136"/>
    <w:rsid w:val="00F16526"/>
    <w:rsid w:val="00F16D91"/>
    <w:rsid w:val="00F1705F"/>
    <w:rsid w:val="00F1732C"/>
    <w:rsid w:val="00F1756F"/>
    <w:rsid w:val="00F201FD"/>
    <w:rsid w:val="00F204E4"/>
    <w:rsid w:val="00F2085A"/>
    <w:rsid w:val="00F20E9D"/>
    <w:rsid w:val="00F214B1"/>
    <w:rsid w:val="00F21C7B"/>
    <w:rsid w:val="00F2227C"/>
    <w:rsid w:val="00F23548"/>
    <w:rsid w:val="00F2359A"/>
    <w:rsid w:val="00F2404C"/>
    <w:rsid w:val="00F2429E"/>
    <w:rsid w:val="00F24782"/>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63EA"/>
    <w:rsid w:val="00F37037"/>
    <w:rsid w:val="00F3771F"/>
    <w:rsid w:val="00F37869"/>
    <w:rsid w:val="00F37A08"/>
    <w:rsid w:val="00F37BB9"/>
    <w:rsid w:val="00F40B80"/>
    <w:rsid w:val="00F41721"/>
    <w:rsid w:val="00F41B43"/>
    <w:rsid w:val="00F41B49"/>
    <w:rsid w:val="00F423F0"/>
    <w:rsid w:val="00F42726"/>
    <w:rsid w:val="00F42C78"/>
    <w:rsid w:val="00F43C32"/>
    <w:rsid w:val="00F44601"/>
    <w:rsid w:val="00F453B6"/>
    <w:rsid w:val="00F45496"/>
    <w:rsid w:val="00F45854"/>
    <w:rsid w:val="00F45D0C"/>
    <w:rsid w:val="00F460F1"/>
    <w:rsid w:val="00F464B2"/>
    <w:rsid w:val="00F468F2"/>
    <w:rsid w:val="00F4697F"/>
    <w:rsid w:val="00F46B56"/>
    <w:rsid w:val="00F46C8A"/>
    <w:rsid w:val="00F46D54"/>
    <w:rsid w:val="00F46DBE"/>
    <w:rsid w:val="00F50DC4"/>
    <w:rsid w:val="00F524C0"/>
    <w:rsid w:val="00F52A72"/>
    <w:rsid w:val="00F53483"/>
    <w:rsid w:val="00F53548"/>
    <w:rsid w:val="00F540CB"/>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029"/>
    <w:rsid w:val="00F6340C"/>
    <w:rsid w:val="00F6362F"/>
    <w:rsid w:val="00F6381A"/>
    <w:rsid w:val="00F64095"/>
    <w:rsid w:val="00F645A3"/>
    <w:rsid w:val="00F6497A"/>
    <w:rsid w:val="00F65403"/>
    <w:rsid w:val="00F658BB"/>
    <w:rsid w:val="00F6598F"/>
    <w:rsid w:val="00F65E41"/>
    <w:rsid w:val="00F65FF3"/>
    <w:rsid w:val="00F66292"/>
    <w:rsid w:val="00F6694F"/>
    <w:rsid w:val="00F67026"/>
    <w:rsid w:val="00F67D15"/>
    <w:rsid w:val="00F70012"/>
    <w:rsid w:val="00F702ED"/>
    <w:rsid w:val="00F7048F"/>
    <w:rsid w:val="00F70A5D"/>
    <w:rsid w:val="00F70D04"/>
    <w:rsid w:val="00F71756"/>
    <w:rsid w:val="00F717ED"/>
    <w:rsid w:val="00F71F64"/>
    <w:rsid w:val="00F722AD"/>
    <w:rsid w:val="00F72370"/>
    <w:rsid w:val="00F724A0"/>
    <w:rsid w:val="00F72ED6"/>
    <w:rsid w:val="00F72EDE"/>
    <w:rsid w:val="00F7426C"/>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51C"/>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0E2"/>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7BB"/>
    <w:rsid w:val="00F96E84"/>
    <w:rsid w:val="00F97914"/>
    <w:rsid w:val="00F97E2D"/>
    <w:rsid w:val="00FA01D4"/>
    <w:rsid w:val="00FA2A41"/>
    <w:rsid w:val="00FA2BD7"/>
    <w:rsid w:val="00FA3BAD"/>
    <w:rsid w:val="00FA3F06"/>
    <w:rsid w:val="00FA4744"/>
    <w:rsid w:val="00FA53DE"/>
    <w:rsid w:val="00FA6DE6"/>
    <w:rsid w:val="00FA6F37"/>
    <w:rsid w:val="00FA6FA7"/>
    <w:rsid w:val="00FA77CA"/>
    <w:rsid w:val="00FB0862"/>
    <w:rsid w:val="00FB0D8A"/>
    <w:rsid w:val="00FB119A"/>
    <w:rsid w:val="00FB141F"/>
    <w:rsid w:val="00FB1431"/>
    <w:rsid w:val="00FB162D"/>
    <w:rsid w:val="00FB181F"/>
    <w:rsid w:val="00FB1918"/>
    <w:rsid w:val="00FB1AE8"/>
    <w:rsid w:val="00FB1D7A"/>
    <w:rsid w:val="00FB24C0"/>
    <w:rsid w:val="00FB2671"/>
    <w:rsid w:val="00FB286E"/>
    <w:rsid w:val="00FB29B4"/>
    <w:rsid w:val="00FB2A18"/>
    <w:rsid w:val="00FB3D9E"/>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1F81"/>
    <w:rsid w:val="00FC201C"/>
    <w:rsid w:val="00FC2F98"/>
    <w:rsid w:val="00FC314B"/>
    <w:rsid w:val="00FC345D"/>
    <w:rsid w:val="00FC39CA"/>
    <w:rsid w:val="00FC3AE8"/>
    <w:rsid w:val="00FC4A41"/>
    <w:rsid w:val="00FC5608"/>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1BF"/>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E7EA0"/>
    <w:rsid w:val="00FF07DB"/>
    <w:rsid w:val="00FF39B5"/>
    <w:rsid w:val="00FF3DBD"/>
    <w:rsid w:val="00FF4204"/>
    <w:rsid w:val="00FF4314"/>
    <w:rsid w:val="00FF456E"/>
    <w:rsid w:val="00FF4A19"/>
    <w:rsid w:val="00FF4CE2"/>
    <w:rsid w:val="00FF5D14"/>
    <w:rsid w:val="00FF69A3"/>
    <w:rsid w:val="00FF7533"/>
    <w:rsid w:val="0101383E"/>
    <w:rsid w:val="01F0299B"/>
    <w:rsid w:val="026E4F91"/>
    <w:rsid w:val="02FC1A3F"/>
    <w:rsid w:val="041D095D"/>
    <w:rsid w:val="05C87DB9"/>
    <w:rsid w:val="0961739E"/>
    <w:rsid w:val="098E6083"/>
    <w:rsid w:val="0AD12F5C"/>
    <w:rsid w:val="0B205B2B"/>
    <w:rsid w:val="0B782559"/>
    <w:rsid w:val="0D566BC9"/>
    <w:rsid w:val="0E180322"/>
    <w:rsid w:val="0E8C4995"/>
    <w:rsid w:val="0EF27BFB"/>
    <w:rsid w:val="0FBC50EF"/>
    <w:rsid w:val="115F3FD7"/>
    <w:rsid w:val="11A259DD"/>
    <w:rsid w:val="11F9269A"/>
    <w:rsid w:val="120474A0"/>
    <w:rsid w:val="13102ABE"/>
    <w:rsid w:val="167D280D"/>
    <w:rsid w:val="16880D9B"/>
    <w:rsid w:val="17047766"/>
    <w:rsid w:val="17935895"/>
    <w:rsid w:val="17E03819"/>
    <w:rsid w:val="17F52C18"/>
    <w:rsid w:val="184530EF"/>
    <w:rsid w:val="19227A4B"/>
    <w:rsid w:val="1A4E7B88"/>
    <w:rsid w:val="1B3E182A"/>
    <w:rsid w:val="1B4B5195"/>
    <w:rsid w:val="1C174C6F"/>
    <w:rsid w:val="1C7C020D"/>
    <w:rsid w:val="1C8F78BA"/>
    <w:rsid w:val="1C9B0D84"/>
    <w:rsid w:val="1CDD3F3B"/>
    <w:rsid w:val="1D4D6869"/>
    <w:rsid w:val="1DC80A69"/>
    <w:rsid w:val="20707345"/>
    <w:rsid w:val="21760101"/>
    <w:rsid w:val="22B25284"/>
    <w:rsid w:val="22C07D9F"/>
    <w:rsid w:val="23056CBA"/>
    <w:rsid w:val="234C1E42"/>
    <w:rsid w:val="23C6059E"/>
    <w:rsid w:val="23C95079"/>
    <w:rsid w:val="23FF75FB"/>
    <w:rsid w:val="24031A53"/>
    <w:rsid w:val="24307C26"/>
    <w:rsid w:val="248E5D4C"/>
    <w:rsid w:val="24C47897"/>
    <w:rsid w:val="24E337F8"/>
    <w:rsid w:val="258D3B57"/>
    <w:rsid w:val="262336EE"/>
    <w:rsid w:val="269E4C0C"/>
    <w:rsid w:val="27024D1A"/>
    <w:rsid w:val="2A1252D4"/>
    <w:rsid w:val="2AD85037"/>
    <w:rsid w:val="2BD0253B"/>
    <w:rsid w:val="2C444480"/>
    <w:rsid w:val="2C564DC3"/>
    <w:rsid w:val="2D465FE8"/>
    <w:rsid w:val="2D6C141D"/>
    <w:rsid w:val="2E980D64"/>
    <w:rsid w:val="2EB64B4B"/>
    <w:rsid w:val="2EDB590A"/>
    <w:rsid w:val="2F0A29E3"/>
    <w:rsid w:val="30817D6A"/>
    <w:rsid w:val="3157114E"/>
    <w:rsid w:val="31F2037F"/>
    <w:rsid w:val="329B11F6"/>
    <w:rsid w:val="336E087E"/>
    <w:rsid w:val="33A85DA6"/>
    <w:rsid w:val="33C3087D"/>
    <w:rsid w:val="35521C81"/>
    <w:rsid w:val="35961B12"/>
    <w:rsid w:val="364523AD"/>
    <w:rsid w:val="36700D38"/>
    <w:rsid w:val="36C4673D"/>
    <w:rsid w:val="376536BA"/>
    <w:rsid w:val="37B10B63"/>
    <w:rsid w:val="37D17C49"/>
    <w:rsid w:val="38170F5F"/>
    <w:rsid w:val="38950836"/>
    <w:rsid w:val="390721D7"/>
    <w:rsid w:val="393B510C"/>
    <w:rsid w:val="393F4767"/>
    <w:rsid w:val="39A97E97"/>
    <w:rsid w:val="3A260C29"/>
    <w:rsid w:val="3B57268D"/>
    <w:rsid w:val="3B6176CE"/>
    <w:rsid w:val="3BF9504C"/>
    <w:rsid w:val="3CF11603"/>
    <w:rsid w:val="3D7507FB"/>
    <w:rsid w:val="3EB5127A"/>
    <w:rsid w:val="3F503E5E"/>
    <w:rsid w:val="3FC16214"/>
    <w:rsid w:val="40192345"/>
    <w:rsid w:val="41576FF8"/>
    <w:rsid w:val="41D9164E"/>
    <w:rsid w:val="41DD521D"/>
    <w:rsid w:val="423B7022"/>
    <w:rsid w:val="42A87124"/>
    <w:rsid w:val="4389060E"/>
    <w:rsid w:val="43C8028A"/>
    <w:rsid w:val="43D51667"/>
    <w:rsid w:val="443B2C25"/>
    <w:rsid w:val="448421F1"/>
    <w:rsid w:val="45D37D9B"/>
    <w:rsid w:val="48194FD5"/>
    <w:rsid w:val="484514CB"/>
    <w:rsid w:val="48C86EE1"/>
    <w:rsid w:val="48E704DA"/>
    <w:rsid w:val="49FA6EF8"/>
    <w:rsid w:val="4A784961"/>
    <w:rsid w:val="4ACF3A3C"/>
    <w:rsid w:val="4B1700DF"/>
    <w:rsid w:val="4B6A5B5B"/>
    <w:rsid w:val="4F0F6A19"/>
    <w:rsid w:val="4F665846"/>
    <w:rsid w:val="511950E4"/>
    <w:rsid w:val="51D10A66"/>
    <w:rsid w:val="528A390F"/>
    <w:rsid w:val="528C6991"/>
    <w:rsid w:val="52C3297B"/>
    <w:rsid w:val="54054633"/>
    <w:rsid w:val="540605E4"/>
    <w:rsid w:val="547F0032"/>
    <w:rsid w:val="54A02A20"/>
    <w:rsid w:val="55C87B3E"/>
    <w:rsid w:val="58D67D8C"/>
    <w:rsid w:val="58E10577"/>
    <w:rsid w:val="59165EF7"/>
    <w:rsid w:val="59702A12"/>
    <w:rsid w:val="5AED2A9C"/>
    <w:rsid w:val="5AFD3B64"/>
    <w:rsid w:val="5BC746C9"/>
    <w:rsid w:val="5CC61F72"/>
    <w:rsid w:val="5CF206F7"/>
    <w:rsid w:val="5EA0340D"/>
    <w:rsid w:val="5ED66C3C"/>
    <w:rsid w:val="5FDD643B"/>
    <w:rsid w:val="5FDE5D3B"/>
    <w:rsid w:val="60BA3E42"/>
    <w:rsid w:val="61225262"/>
    <w:rsid w:val="6194383B"/>
    <w:rsid w:val="61CB5375"/>
    <w:rsid w:val="623348CA"/>
    <w:rsid w:val="65CA685B"/>
    <w:rsid w:val="65CF34A7"/>
    <w:rsid w:val="65F660EF"/>
    <w:rsid w:val="6673798C"/>
    <w:rsid w:val="673905B6"/>
    <w:rsid w:val="67E92EA9"/>
    <w:rsid w:val="681C3942"/>
    <w:rsid w:val="68460AAC"/>
    <w:rsid w:val="68AC1CFE"/>
    <w:rsid w:val="68EC626C"/>
    <w:rsid w:val="6BCD1DE6"/>
    <w:rsid w:val="6C505023"/>
    <w:rsid w:val="6D14299F"/>
    <w:rsid w:val="6D672A1E"/>
    <w:rsid w:val="6DC237D1"/>
    <w:rsid w:val="6F40725E"/>
    <w:rsid w:val="6F4C2770"/>
    <w:rsid w:val="6F524050"/>
    <w:rsid w:val="6F745D74"/>
    <w:rsid w:val="711172CF"/>
    <w:rsid w:val="71FD54DD"/>
    <w:rsid w:val="739A7F5B"/>
    <w:rsid w:val="7410294D"/>
    <w:rsid w:val="76D71644"/>
    <w:rsid w:val="776C2FB6"/>
    <w:rsid w:val="796853FA"/>
    <w:rsid w:val="79982284"/>
    <w:rsid w:val="7998662D"/>
    <w:rsid w:val="7A8C5878"/>
    <w:rsid w:val="7AAF114E"/>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3"/>
    <w:next w:val="1"/>
    <w:link w:val="60"/>
    <w:autoRedefine/>
    <w:qFormat/>
    <w:uiPriority w:val="0"/>
    <w:pPr>
      <w:spacing w:before="340" w:after="330" w:line="360" w:lineRule="auto"/>
      <w:jc w:val="center"/>
      <w:outlineLvl w:val="0"/>
    </w:pPr>
    <w:rPr>
      <w:rFonts w:eastAsiaTheme="minorEastAsia"/>
      <w:bCs w:val="0"/>
      <w:kern w:val="44"/>
      <w:sz w:val="44"/>
      <w:szCs w:val="28"/>
    </w:rPr>
  </w:style>
  <w:style w:type="paragraph" w:styleId="4">
    <w:name w:val="heading 2"/>
    <w:basedOn w:val="1"/>
    <w:next w:val="1"/>
    <w:link w:val="61"/>
    <w:autoRedefine/>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3">
    <w:name w:val="heading 3"/>
    <w:basedOn w:val="1"/>
    <w:next w:val="1"/>
    <w:link w:val="59"/>
    <w:autoRedefine/>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autoRedefine/>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autoRedefine/>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autoRedefine/>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autoRedefine/>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autoRedefine/>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autoRedefine/>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autoRedefine/>
    <w:semiHidden/>
    <w:unhideWhenUsed/>
    <w:qFormat/>
    <w:uiPriority w:val="1"/>
  </w:style>
  <w:style w:type="table" w:default="1" w:styleId="50">
    <w:name w:val="Normal Table"/>
    <w:autoRedefin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7">
    <w:name w:val="Normal Indent"/>
    <w:basedOn w:val="1"/>
    <w:link w:val="63"/>
    <w:autoRedefine/>
    <w:qFormat/>
    <w:uiPriority w:val="0"/>
    <w:pPr>
      <w:ind w:firstLine="420" w:firstLineChars="200"/>
    </w:pPr>
  </w:style>
  <w:style w:type="paragraph" w:styleId="12">
    <w:name w:val="toc 7"/>
    <w:basedOn w:val="1"/>
    <w:next w:val="1"/>
    <w:autoRedefine/>
    <w:qFormat/>
    <w:uiPriority w:val="0"/>
    <w:pPr>
      <w:ind w:left="1260"/>
      <w:jc w:val="left"/>
    </w:pPr>
    <w:rPr>
      <w:szCs w:val="21"/>
    </w:rPr>
  </w:style>
  <w:style w:type="paragraph" w:styleId="13">
    <w:name w:val="List Number 2"/>
    <w:basedOn w:val="1"/>
    <w:autoRedefine/>
    <w:qFormat/>
    <w:uiPriority w:val="0"/>
    <w:pPr>
      <w:tabs>
        <w:tab w:val="left" w:pos="780"/>
      </w:tabs>
      <w:ind w:left="780" w:hanging="360"/>
    </w:pPr>
    <w:rPr>
      <w:szCs w:val="20"/>
    </w:rPr>
  </w:style>
  <w:style w:type="paragraph" w:styleId="14">
    <w:name w:val="List Bullet 4"/>
    <w:basedOn w:val="1"/>
    <w:autoRedefine/>
    <w:qFormat/>
    <w:uiPriority w:val="0"/>
    <w:pPr>
      <w:tabs>
        <w:tab w:val="left" w:pos="425"/>
        <w:tab w:val="left" w:pos="1620"/>
      </w:tabs>
      <w:ind w:left="425" w:hanging="425"/>
    </w:pPr>
    <w:rPr>
      <w:szCs w:val="20"/>
    </w:rPr>
  </w:style>
  <w:style w:type="paragraph" w:styleId="15">
    <w:name w:val="caption"/>
    <w:basedOn w:val="1"/>
    <w:next w:val="1"/>
    <w:link w:val="297"/>
    <w:autoRedefine/>
    <w:qFormat/>
    <w:uiPriority w:val="0"/>
    <w:rPr>
      <w:rFonts w:ascii="Cambria" w:hAnsi="Cambria" w:eastAsia="黑体"/>
    </w:rPr>
  </w:style>
  <w:style w:type="paragraph" w:styleId="16">
    <w:name w:val="List Bullet"/>
    <w:basedOn w:val="1"/>
    <w:autoRedefine/>
    <w:qFormat/>
    <w:uiPriority w:val="0"/>
    <w:pPr>
      <w:numPr>
        <w:ilvl w:val="0"/>
        <w:numId w:val="1"/>
      </w:numPr>
      <w:tabs>
        <w:tab w:val="left" w:pos="360"/>
        <w:tab w:val="clear" w:pos="371"/>
      </w:tabs>
    </w:pPr>
    <w:rPr>
      <w:szCs w:val="20"/>
    </w:rPr>
  </w:style>
  <w:style w:type="paragraph" w:styleId="17">
    <w:name w:val="Document Map"/>
    <w:basedOn w:val="1"/>
    <w:link w:val="73"/>
    <w:autoRedefine/>
    <w:qFormat/>
    <w:uiPriority w:val="0"/>
    <w:pPr>
      <w:shd w:val="clear" w:color="auto" w:fill="000080"/>
    </w:pPr>
  </w:style>
  <w:style w:type="paragraph" w:styleId="18">
    <w:name w:val="annotation text"/>
    <w:basedOn w:val="1"/>
    <w:link w:val="509"/>
    <w:autoRedefine/>
    <w:qFormat/>
    <w:uiPriority w:val="99"/>
    <w:pPr>
      <w:keepNext w:val="0"/>
      <w:keepLines w:val="0"/>
      <w:widowControl w:val="0"/>
      <w:suppressLineNumbers w:val="0"/>
      <w:spacing w:before="0" w:beforeAutospacing="0" w:after="60" w:afterAutospacing="0" w:line="440" w:lineRule="exact"/>
      <w:ind w:left="0" w:right="0" w:firstLine="372" w:firstLineChars="177"/>
      <w:jc w:val="left"/>
    </w:pPr>
    <w:rPr>
      <w:rFonts w:hint="default" w:ascii="Times New Roman" w:hAnsi="Times New Roman" w:eastAsia="宋体" w:cs="Times New Roman"/>
      <w:kern w:val="2"/>
      <w:sz w:val="21"/>
      <w:szCs w:val="24"/>
      <w:lang w:val="en-US" w:eastAsia="zh-CN" w:bidi="ar"/>
    </w:rPr>
  </w:style>
  <w:style w:type="paragraph" w:styleId="19">
    <w:name w:val="Body Text 3"/>
    <w:basedOn w:val="1"/>
    <w:link w:val="458"/>
    <w:autoRedefine/>
    <w:unhideWhenUsed/>
    <w:qFormat/>
    <w:uiPriority w:val="0"/>
    <w:pPr>
      <w:spacing w:after="120"/>
    </w:pPr>
    <w:rPr>
      <w:sz w:val="16"/>
      <w:szCs w:val="16"/>
    </w:rPr>
  </w:style>
  <w:style w:type="paragraph" w:styleId="20">
    <w:name w:val="Body Text"/>
    <w:basedOn w:val="1"/>
    <w:link w:val="71"/>
    <w:autoRedefine/>
    <w:qFormat/>
    <w:uiPriority w:val="0"/>
    <w:pPr>
      <w:spacing w:after="120"/>
    </w:pPr>
  </w:style>
  <w:style w:type="paragraph" w:styleId="21">
    <w:name w:val="Body Text Indent"/>
    <w:basedOn w:val="1"/>
    <w:link w:val="74"/>
    <w:autoRedefine/>
    <w:qFormat/>
    <w:uiPriority w:val="0"/>
    <w:pPr>
      <w:spacing w:after="120"/>
      <w:ind w:left="420" w:leftChars="200"/>
    </w:pPr>
  </w:style>
  <w:style w:type="paragraph" w:styleId="22">
    <w:name w:val="Block Text"/>
    <w:basedOn w:val="1"/>
    <w:autoRedefine/>
    <w:qFormat/>
    <w:uiPriority w:val="0"/>
    <w:pPr>
      <w:spacing w:after="120"/>
      <w:ind w:left="1440" w:leftChars="700" w:right="1440" w:rightChars="700"/>
    </w:pPr>
  </w:style>
  <w:style w:type="paragraph" w:styleId="23">
    <w:name w:val="List Bullet 2"/>
    <w:basedOn w:val="1"/>
    <w:autoRedefine/>
    <w:qFormat/>
    <w:uiPriority w:val="0"/>
    <w:pPr>
      <w:numPr>
        <w:ilvl w:val="0"/>
        <w:numId w:val="2"/>
      </w:numPr>
      <w:tabs>
        <w:tab w:val="left" w:pos="780"/>
      </w:tabs>
    </w:pPr>
    <w:rPr>
      <w:szCs w:val="20"/>
    </w:rPr>
  </w:style>
  <w:style w:type="paragraph" w:styleId="24">
    <w:name w:val="toc 5"/>
    <w:basedOn w:val="1"/>
    <w:next w:val="1"/>
    <w:autoRedefine/>
    <w:qFormat/>
    <w:uiPriority w:val="0"/>
    <w:pPr>
      <w:ind w:left="840"/>
      <w:jc w:val="left"/>
    </w:pPr>
    <w:rPr>
      <w:szCs w:val="21"/>
    </w:rPr>
  </w:style>
  <w:style w:type="paragraph" w:styleId="25">
    <w:name w:val="toc 3"/>
    <w:basedOn w:val="1"/>
    <w:next w:val="1"/>
    <w:autoRedefine/>
    <w:qFormat/>
    <w:uiPriority w:val="39"/>
    <w:pPr>
      <w:ind w:left="420"/>
      <w:jc w:val="left"/>
    </w:pPr>
    <w:rPr>
      <w:iCs/>
    </w:rPr>
  </w:style>
  <w:style w:type="paragraph" w:styleId="26">
    <w:name w:val="Plain Text"/>
    <w:basedOn w:val="1"/>
    <w:link w:val="75"/>
    <w:autoRedefine/>
    <w:qFormat/>
    <w:uiPriority w:val="0"/>
    <w:rPr>
      <w:rFonts w:ascii="宋体" w:hAnsi="Courier New"/>
      <w:szCs w:val="20"/>
    </w:rPr>
  </w:style>
  <w:style w:type="paragraph" w:styleId="27">
    <w:name w:val="toc 8"/>
    <w:basedOn w:val="1"/>
    <w:next w:val="1"/>
    <w:autoRedefine/>
    <w:qFormat/>
    <w:uiPriority w:val="0"/>
    <w:pPr>
      <w:ind w:left="1470"/>
      <w:jc w:val="left"/>
    </w:pPr>
    <w:rPr>
      <w:szCs w:val="21"/>
    </w:rPr>
  </w:style>
  <w:style w:type="paragraph" w:styleId="28">
    <w:name w:val="Date"/>
    <w:basedOn w:val="1"/>
    <w:next w:val="1"/>
    <w:link w:val="316"/>
    <w:autoRedefine/>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next w:val="1"/>
    <w:link w:val="76"/>
    <w:autoRedefine/>
    <w:qFormat/>
    <w:uiPriority w:val="0"/>
    <w:pPr>
      <w:spacing w:after="120" w:line="480" w:lineRule="auto"/>
      <w:ind w:left="420" w:leftChars="200"/>
    </w:pPr>
  </w:style>
  <w:style w:type="paragraph" w:styleId="30">
    <w:name w:val="Balloon Text"/>
    <w:basedOn w:val="1"/>
    <w:link w:val="77"/>
    <w:autoRedefine/>
    <w:qFormat/>
    <w:uiPriority w:val="0"/>
    <w:rPr>
      <w:sz w:val="18"/>
      <w:szCs w:val="18"/>
    </w:rPr>
  </w:style>
  <w:style w:type="paragraph" w:styleId="31">
    <w:name w:val="footer"/>
    <w:basedOn w:val="1"/>
    <w:link w:val="78"/>
    <w:autoRedefine/>
    <w:qFormat/>
    <w:uiPriority w:val="99"/>
    <w:pPr>
      <w:tabs>
        <w:tab w:val="center" w:pos="4153"/>
        <w:tab w:val="right" w:pos="8306"/>
      </w:tabs>
      <w:snapToGrid w:val="0"/>
      <w:jc w:val="left"/>
    </w:pPr>
    <w:rPr>
      <w:sz w:val="18"/>
      <w:szCs w:val="18"/>
    </w:rPr>
  </w:style>
  <w:style w:type="paragraph" w:styleId="32">
    <w:name w:val="header"/>
    <w:basedOn w:val="1"/>
    <w:link w:val="79"/>
    <w:autoRedefine/>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autoRedefine/>
    <w:qFormat/>
    <w:uiPriority w:val="0"/>
    <w:pPr>
      <w:ind w:left="4320"/>
    </w:pPr>
    <w:rPr>
      <w:rFonts w:eastAsia="楷体_GB2312"/>
      <w:szCs w:val="20"/>
    </w:rPr>
  </w:style>
  <w:style w:type="paragraph" w:styleId="34">
    <w:name w:val="toc 1"/>
    <w:basedOn w:val="1"/>
    <w:next w:val="1"/>
    <w:autoRedefine/>
    <w:qFormat/>
    <w:uiPriority w:val="39"/>
    <w:pPr>
      <w:spacing w:before="120" w:after="120"/>
      <w:jc w:val="left"/>
    </w:pPr>
    <w:rPr>
      <w:b/>
      <w:bCs/>
      <w:caps/>
    </w:rPr>
  </w:style>
  <w:style w:type="paragraph" w:styleId="35">
    <w:name w:val="toc 4"/>
    <w:basedOn w:val="1"/>
    <w:next w:val="1"/>
    <w:autoRedefine/>
    <w:qFormat/>
    <w:uiPriority w:val="0"/>
    <w:pPr>
      <w:ind w:left="630"/>
      <w:jc w:val="left"/>
    </w:pPr>
    <w:rPr>
      <w:szCs w:val="21"/>
    </w:rPr>
  </w:style>
  <w:style w:type="paragraph" w:styleId="36">
    <w:name w:val="index heading"/>
    <w:basedOn w:val="1"/>
    <w:next w:val="37"/>
    <w:autoRedefine/>
    <w:qFormat/>
    <w:uiPriority w:val="0"/>
    <w:rPr>
      <w:szCs w:val="20"/>
    </w:rPr>
  </w:style>
  <w:style w:type="paragraph" w:styleId="37">
    <w:name w:val="index 1"/>
    <w:basedOn w:val="1"/>
    <w:next w:val="1"/>
    <w:autoRedefine/>
    <w:qFormat/>
    <w:uiPriority w:val="0"/>
  </w:style>
  <w:style w:type="paragraph" w:styleId="38">
    <w:name w:val="footnote text"/>
    <w:basedOn w:val="1"/>
    <w:link w:val="481"/>
    <w:autoRedefine/>
    <w:qFormat/>
    <w:uiPriority w:val="0"/>
    <w:pPr>
      <w:snapToGrid w:val="0"/>
      <w:jc w:val="left"/>
    </w:pPr>
    <w:rPr>
      <w:sz w:val="18"/>
      <w:szCs w:val="18"/>
    </w:rPr>
  </w:style>
  <w:style w:type="paragraph" w:styleId="39">
    <w:name w:val="toc 6"/>
    <w:basedOn w:val="1"/>
    <w:next w:val="1"/>
    <w:autoRedefine/>
    <w:qFormat/>
    <w:uiPriority w:val="0"/>
    <w:pPr>
      <w:ind w:left="1050"/>
      <w:jc w:val="left"/>
    </w:pPr>
    <w:rPr>
      <w:szCs w:val="21"/>
    </w:rPr>
  </w:style>
  <w:style w:type="paragraph" w:styleId="40">
    <w:name w:val="Body Text Indent 3"/>
    <w:basedOn w:val="1"/>
    <w:link w:val="313"/>
    <w:autoRedefine/>
    <w:qFormat/>
    <w:uiPriority w:val="0"/>
    <w:pPr>
      <w:ind w:firstLine="426"/>
    </w:pPr>
    <w:rPr>
      <w:szCs w:val="20"/>
    </w:rPr>
  </w:style>
  <w:style w:type="paragraph" w:styleId="41">
    <w:name w:val="toc 2"/>
    <w:basedOn w:val="1"/>
    <w:next w:val="1"/>
    <w:autoRedefine/>
    <w:qFormat/>
    <w:uiPriority w:val="39"/>
    <w:pPr>
      <w:ind w:left="210"/>
      <w:jc w:val="left"/>
    </w:pPr>
    <w:rPr>
      <w:smallCaps/>
    </w:rPr>
  </w:style>
  <w:style w:type="paragraph" w:styleId="42">
    <w:name w:val="toc 9"/>
    <w:basedOn w:val="1"/>
    <w:next w:val="1"/>
    <w:autoRedefine/>
    <w:qFormat/>
    <w:uiPriority w:val="0"/>
    <w:pPr>
      <w:ind w:left="1680"/>
      <w:jc w:val="left"/>
    </w:pPr>
    <w:rPr>
      <w:szCs w:val="21"/>
    </w:rPr>
  </w:style>
  <w:style w:type="paragraph" w:styleId="43">
    <w:name w:val="Body Text 2"/>
    <w:basedOn w:val="1"/>
    <w:link w:val="306"/>
    <w:autoRedefine/>
    <w:qFormat/>
    <w:uiPriority w:val="0"/>
    <w:rPr>
      <w:sz w:val="28"/>
      <w:szCs w:val="20"/>
    </w:rPr>
  </w:style>
  <w:style w:type="paragraph" w:styleId="44">
    <w:name w:val="HTML Preformatted"/>
    <w:basedOn w:val="1"/>
    <w:link w:val="8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autoRedefine/>
    <w:qFormat/>
    <w:uiPriority w:val="99"/>
    <w:pPr>
      <w:widowControl/>
      <w:spacing w:before="100" w:beforeAutospacing="1" w:after="100" w:afterAutospacing="1"/>
      <w:jc w:val="left"/>
    </w:pPr>
    <w:rPr>
      <w:kern w:val="0"/>
      <w:sz w:val="24"/>
    </w:rPr>
  </w:style>
  <w:style w:type="paragraph" w:styleId="46">
    <w:name w:val="Title"/>
    <w:basedOn w:val="1"/>
    <w:link w:val="81"/>
    <w:autoRedefine/>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autoRedefine/>
    <w:qFormat/>
    <w:uiPriority w:val="0"/>
    <w:rPr>
      <w:b/>
      <w:bCs/>
    </w:rPr>
  </w:style>
  <w:style w:type="paragraph" w:styleId="48">
    <w:name w:val="Body Text First Indent"/>
    <w:basedOn w:val="20"/>
    <w:link w:val="72"/>
    <w:autoRedefine/>
    <w:qFormat/>
    <w:uiPriority w:val="0"/>
    <w:pPr>
      <w:ind w:firstLine="420" w:firstLineChars="100"/>
    </w:pPr>
  </w:style>
  <w:style w:type="paragraph" w:styleId="49">
    <w:name w:val="Body Text First Indent 2"/>
    <w:basedOn w:val="21"/>
    <w:link w:val="292"/>
    <w:autoRedefine/>
    <w:qFormat/>
    <w:uiPriority w:val="0"/>
    <w:pPr>
      <w:spacing w:after="160" w:line="360" w:lineRule="auto"/>
      <w:ind w:firstLine="480" w:firstLineChars="200"/>
    </w:pPr>
    <w:rPr>
      <w:kern w:val="0"/>
      <w:sz w:val="24"/>
    </w:rPr>
  </w:style>
  <w:style w:type="table" w:styleId="51">
    <w:name w:val="Table Grid"/>
    <w:basedOn w:val="50"/>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autoRedefine/>
    <w:qFormat/>
    <w:uiPriority w:val="22"/>
    <w:rPr>
      <w:b/>
      <w:bCs/>
    </w:rPr>
  </w:style>
  <w:style w:type="character" w:styleId="54">
    <w:name w:val="page number"/>
    <w:basedOn w:val="52"/>
    <w:autoRedefine/>
    <w:qFormat/>
    <w:uiPriority w:val="0"/>
  </w:style>
  <w:style w:type="character" w:styleId="55">
    <w:name w:val="FollowedHyperlink"/>
    <w:basedOn w:val="52"/>
    <w:autoRedefine/>
    <w:unhideWhenUsed/>
    <w:qFormat/>
    <w:uiPriority w:val="0"/>
    <w:rPr>
      <w:color w:val="800080"/>
      <w:u w:val="single"/>
    </w:rPr>
  </w:style>
  <w:style w:type="character" w:styleId="56">
    <w:name w:val="Emphasis"/>
    <w:autoRedefine/>
    <w:qFormat/>
    <w:uiPriority w:val="20"/>
    <w:rPr>
      <w:i/>
      <w:iCs/>
    </w:rPr>
  </w:style>
  <w:style w:type="character" w:styleId="57">
    <w:name w:val="Hyperlink"/>
    <w:autoRedefine/>
    <w:qFormat/>
    <w:uiPriority w:val="99"/>
    <w:rPr>
      <w:color w:val="0000FF"/>
      <w:u w:val="single"/>
    </w:rPr>
  </w:style>
  <w:style w:type="character" w:styleId="58">
    <w:name w:val="annotation reference"/>
    <w:autoRedefine/>
    <w:qFormat/>
    <w:uiPriority w:val="99"/>
    <w:rPr>
      <w:sz w:val="21"/>
      <w:szCs w:val="21"/>
    </w:rPr>
  </w:style>
  <w:style w:type="character" w:customStyle="1" w:styleId="59">
    <w:name w:val="标题 3 Char"/>
    <w:basedOn w:val="52"/>
    <w:link w:val="3"/>
    <w:autoRedefine/>
    <w:qFormat/>
    <w:uiPriority w:val="0"/>
    <w:rPr>
      <w:b/>
      <w:bCs/>
      <w:kern w:val="2"/>
      <w:sz w:val="24"/>
      <w:szCs w:val="32"/>
    </w:rPr>
  </w:style>
  <w:style w:type="character" w:customStyle="1" w:styleId="60">
    <w:name w:val="标题 1 Char"/>
    <w:basedOn w:val="52"/>
    <w:link w:val="2"/>
    <w:autoRedefine/>
    <w:qFormat/>
    <w:uiPriority w:val="0"/>
    <w:rPr>
      <w:rFonts w:eastAsiaTheme="minorEastAsia"/>
      <w:b/>
      <w:kern w:val="44"/>
      <w:sz w:val="44"/>
      <w:szCs w:val="28"/>
    </w:rPr>
  </w:style>
  <w:style w:type="character" w:customStyle="1" w:styleId="61">
    <w:name w:val="标题 2 Char"/>
    <w:basedOn w:val="52"/>
    <w:link w:val="4"/>
    <w:autoRedefine/>
    <w:qFormat/>
    <w:uiPriority w:val="0"/>
    <w:rPr>
      <w:rFonts w:ascii="Arial" w:hAnsi="Arial" w:eastAsiaTheme="minorEastAsia"/>
      <w:b/>
      <w:bCs/>
      <w:kern w:val="2"/>
      <w:sz w:val="28"/>
      <w:szCs w:val="32"/>
    </w:rPr>
  </w:style>
  <w:style w:type="character" w:customStyle="1" w:styleId="62">
    <w:name w:val="标题 4 Char1"/>
    <w:basedOn w:val="52"/>
    <w:link w:val="5"/>
    <w:autoRedefine/>
    <w:qFormat/>
    <w:uiPriority w:val="99"/>
    <w:rPr>
      <w:rFonts w:ascii="Arial" w:hAnsi="Arial" w:eastAsia="黑体"/>
      <w:b/>
      <w:bCs/>
      <w:kern w:val="2"/>
      <w:sz w:val="28"/>
      <w:szCs w:val="28"/>
    </w:rPr>
  </w:style>
  <w:style w:type="character" w:customStyle="1" w:styleId="63">
    <w:name w:val="正文缩进 Char"/>
    <w:link w:val="7"/>
    <w:autoRedefine/>
    <w:qFormat/>
    <w:uiPriority w:val="0"/>
    <w:rPr>
      <w:rFonts w:eastAsia="宋体"/>
      <w:kern w:val="2"/>
      <w:sz w:val="21"/>
      <w:szCs w:val="24"/>
      <w:lang w:val="en-US" w:eastAsia="zh-CN" w:bidi="ar-SA"/>
    </w:rPr>
  </w:style>
  <w:style w:type="character" w:customStyle="1" w:styleId="64">
    <w:name w:val="标题 5 Char1"/>
    <w:basedOn w:val="52"/>
    <w:link w:val="6"/>
    <w:autoRedefine/>
    <w:qFormat/>
    <w:uiPriority w:val="0"/>
    <w:rPr>
      <w:b/>
      <w:kern w:val="2"/>
      <w:sz w:val="28"/>
      <w:szCs w:val="24"/>
    </w:rPr>
  </w:style>
  <w:style w:type="character" w:customStyle="1" w:styleId="65">
    <w:name w:val="标题 6 Char1"/>
    <w:basedOn w:val="52"/>
    <w:link w:val="8"/>
    <w:autoRedefine/>
    <w:qFormat/>
    <w:uiPriority w:val="9"/>
    <w:rPr>
      <w:rFonts w:ascii="Arial" w:hAnsi="Arial" w:eastAsia="黑体"/>
      <w:b/>
      <w:kern w:val="2"/>
      <w:sz w:val="24"/>
      <w:szCs w:val="24"/>
    </w:rPr>
  </w:style>
  <w:style w:type="character" w:customStyle="1" w:styleId="66">
    <w:name w:val="标题 7 Char1"/>
    <w:basedOn w:val="52"/>
    <w:link w:val="9"/>
    <w:autoRedefine/>
    <w:qFormat/>
    <w:uiPriority w:val="9"/>
    <w:rPr>
      <w:b/>
      <w:kern w:val="2"/>
      <w:sz w:val="24"/>
      <w:szCs w:val="24"/>
    </w:rPr>
  </w:style>
  <w:style w:type="character" w:customStyle="1" w:styleId="67">
    <w:name w:val="标题 8 Char1"/>
    <w:basedOn w:val="52"/>
    <w:link w:val="10"/>
    <w:autoRedefine/>
    <w:qFormat/>
    <w:uiPriority w:val="9"/>
    <w:rPr>
      <w:rFonts w:ascii="Arial" w:hAnsi="Arial" w:eastAsia="黑体"/>
      <w:kern w:val="2"/>
      <w:sz w:val="24"/>
      <w:szCs w:val="24"/>
    </w:rPr>
  </w:style>
  <w:style w:type="character" w:customStyle="1" w:styleId="68">
    <w:name w:val="标题 9 Char1"/>
    <w:basedOn w:val="52"/>
    <w:link w:val="11"/>
    <w:autoRedefine/>
    <w:qFormat/>
    <w:uiPriority w:val="0"/>
    <w:rPr>
      <w:rFonts w:ascii="Arial" w:hAnsi="Arial" w:eastAsia="黑体"/>
      <w:kern w:val="2"/>
      <w:sz w:val="21"/>
      <w:szCs w:val="24"/>
    </w:rPr>
  </w:style>
  <w:style w:type="character" w:customStyle="1" w:styleId="69">
    <w:name w:val="批注文字 Char"/>
    <w:link w:val="18"/>
    <w:autoRedefine/>
    <w:qFormat/>
    <w:uiPriority w:val="99"/>
    <w:rPr>
      <w:kern w:val="2"/>
      <w:sz w:val="21"/>
      <w:szCs w:val="24"/>
    </w:rPr>
  </w:style>
  <w:style w:type="character" w:customStyle="1" w:styleId="70">
    <w:name w:val="批注主题 Char"/>
    <w:basedOn w:val="69"/>
    <w:link w:val="47"/>
    <w:autoRedefine/>
    <w:qFormat/>
    <w:uiPriority w:val="0"/>
    <w:rPr>
      <w:b/>
      <w:bCs/>
      <w:kern w:val="2"/>
      <w:sz w:val="21"/>
      <w:szCs w:val="24"/>
    </w:rPr>
  </w:style>
  <w:style w:type="character" w:customStyle="1" w:styleId="71">
    <w:name w:val="正文文本 Char"/>
    <w:basedOn w:val="52"/>
    <w:link w:val="20"/>
    <w:autoRedefine/>
    <w:qFormat/>
    <w:uiPriority w:val="0"/>
    <w:rPr>
      <w:kern w:val="2"/>
      <w:sz w:val="21"/>
      <w:szCs w:val="24"/>
    </w:rPr>
  </w:style>
  <w:style w:type="character" w:customStyle="1" w:styleId="72">
    <w:name w:val="正文首行缩进 Char"/>
    <w:link w:val="48"/>
    <w:autoRedefine/>
    <w:qFormat/>
    <w:uiPriority w:val="0"/>
    <w:rPr>
      <w:rFonts w:eastAsia="宋体"/>
      <w:kern w:val="2"/>
      <w:sz w:val="21"/>
      <w:szCs w:val="24"/>
      <w:lang w:val="en-US" w:eastAsia="zh-CN" w:bidi="ar-SA"/>
    </w:rPr>
  </w:style>
  <w:style w:type="character" w:customStyle="1" w:styleId="73">
    <w:name w:val="文档结构图 Char"/>
    <w:basedOn w:val="52"/>
    <w:link w:val="17"/>
    <w:autoRedefine/>
    <w:qFormat/>
    <w:uiPriority w:val="0"/>
    <w:rPr>
      <w:kern w:val="2"/>
      <w:sz w:val="21"/>
      <w:szCs w:val="24"/>
      <w:shd w:val="clear" w:color="auto" w:fill="000080"/>
    </w:rPr>
  </w:style>
  <w:style w:type="character" w:customStyle="1" w:styleId="74">
    <w:name w:val="正文文本缩进 Char1"/>
    <w:basedOn w:val="52"/>
    <w:link w:val="21"/>
    <w:autoRedefine/>
    <w:qFormat/>
    <w:uiPriority w:val="0"/>
    <w:rPr>
      <w:kern w:val="2"/>
      <w:sz w:val="21"/>
      <w:szCs w:val="24"/>
    </w:rPr>
  </w:style>
  <w:style w:type="character" w:customStyle="1" w:styleId="75">
    <w:name w:val="纯文本 Char"/>
    <w:link w:val="26"/>
    <w:autoRedefine/>
    <w:qFormat/>
    <w:uiPriority w:val="0"/>
    <w:rPr>
      <w:rFonts w:ascii="宋体" w:hAnsi="Courier New" w:eastAsia="宋体"/>
      <w:kern w:val="2"/>
      <w:sz w:val="21"/>
      <w:lang w:val="en-US" w:eastAsia="zh-CN" w:bidi="ar-SA"/>
    </w:rPr>
  </w:style>
  <w:style w:type="character" w:customStyle="1" w:styleId="76">
    <w:name w:val="正文文本缩进 2 Char1"/>
    <w:link w:val="29"/>
    <w:autoRedefine/>
    <w:qFormat/>
    <w:uiPriority w:val="0"/>
    <w:rPr>
      <w:kern w:val="2"/>
      <w:sz w:val="21"/>
      <w:szCs w:val="24"/>
    </w:rPr>
  </w:style>
  <w:style w:type="character" w:customStyle="1" w:styleId="77">
    <w:name w:val="批注框文本 Char"/>
    <w:basedOn w:val="52"/>
    <w:link w:val="30"/>
    <w:autoRedefine/>
    <w:qFormat/>
    <w:uiPriority w:val="99"/>
    <w:rPr>
      <w:kern w:val="2"/>
      <w:sz w:val="18"/>
      <w:szCs w:val="18"/>
    </w:rPr>
  </w:style>
  <w:style w:type="character" w:customStyle="1" w:styleId="78">
    <w:name w:val="页脚 Char"/>
    <w:basedOn w:val="52"/>
    <w:link w:val="31"/>
    <w:autoRedefine/>
    <w:qFormat/>
    <w:uiPriority w:val="99"/>
    <w:rPr>
      <w:kern w:val="2"/>
      <w:sz w:val="18"/>
      <w:szCs w:val="18"/>
    </w:rPr>
  </w:style>
  <w:style w:type="character" w:customStyle="1" w:styleId="79">
    <w:name w:val="页眉 Char"/>
    <w:link w:val="32"/>
    <w:autoRedefine/>
    <w:qFormat/>
    <w:uiPriority w:val="99"/>
    <w:rPr>
      <w:kern w:val="2"/>
      <w:sz w:val="18"/>
      <w:szCs w:val="18"/>
    </w:rPr>
  </w:style>
  <w:style w:type="character" w:customStyle="1" w:styleId="80">
    <w:name w:val="HTML 预设格式 Char1"/>
    <w:link w:val="44"/>
    <w:autoRedefine/>
    <w:qFormat/>
    <w:uiPriority w:val="0"/>
    <w:rPr>
      <w:rFonts w:ascii="宋体" w:hAnsi="宋体" w:cs="宋体"/>
      <w:sz w:val="24"/>
      <w:szCs w:val="24"/>
    </w:rPr>
  </w:style>
  <w:style w:type="character" w:customStyle="1" w:styleId="81">
    <w:name w:val="标题 Char"/>
    <w:link w:val="46"/>
    <w:autoRedefine/>
    <w:qFormat/>
    <w:uiPriority w:val="0"/>
    <w:rPr>
      <w:rFonts w:ascii="Arial" w:hAnsi="Arial" w:eastAsia="隶书" w:cs="Arial"/>
      <w:b/>
      <w:bCs/>
      <w:kern w:val="2"/>
      <w:sz w:val="32"/>
      <w:szCs w:val="32"/>
    </w:rPr>
  </w:style>
  <w:style w:type="paragraph" w:customStyle="1" w:styleId="82">
    <w:name w:val="Char Char Char 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autoRedefine/>
    <w:qFormat/>
    <w:uiPriority w:val="0"/>
    <w:pPr>
      <w:spacing w:line="360" w:lineRule="auto"/>
      <w:ind w:firstLine="516" w:firstLineChars="215"/>
    </w:pPr>
    <w:rPr>
      <w:sz w:val="24"/>
      <w:szCs w:val="20"/>
    </w:rPr>
  </w:style>
  <w:style w:type="character" w:customStyle="1" w:styleId="84">
    <w:name w:val="样式1 Char Char Char"/>
    <w:link w:val="83"/>
    <w:autoRedefine/>
    <w:qFormat/>
    <w:uiPriority w:val="0"/>
    <w:rPr>
      <w:rFonts w:eastAsia="宋体"/>
      <w:kern w:val="2"/>
      <w:sz w:val="24"/>
      <w:lang w:val="en-US" w:eastAsia="zh-CN" w:bidi="ar-SA"/>
    </w:rPr>
  </w:style>
  <w:style w:type="paragraph" w:customStyle="1" w:styleId="85">
    <w:name w:val="样式1"/>
    <w:basedOn w:val="46"/>
    <w:link w:val="86"/>
    <w:autoRedefine/>
    <w:qFormat/>
    <w:uiPriority w:val="0"/>
    <w:pPr>
      <w:spacing w:before="120" w:after="120"/>
    </w:pPr>
    <w:rPr>
      <w:rFonts w:eastAsia="黑体" w:cs="Arial"/>
      <w:b w:val="0"/>
      <w:sz w:val="30"/>
      <w:szCs w:val="21"/>
    </w:rPr>
  </w:style>
  <w:style w:type="character" w:customStyle="1" w:styleId="86">
    <w:name w:val="样式1 Char"/>
    <w:link w:val="85"/>
    <w:autoRedefine/>
    <w:qFormat/>
    <w:uiPriority w:val="0"/>
    <w:rPr>
      <w:rFonts w:ascii="Arial" w:hAnsi="Arial" w:eastAsia="黑体" w:cs="Arial"/>
      <w:bCs/>
      <w:kern w:val="2"/>
      <w:sz w:val="30"/>
      <w:szCs w:val="21"/>
      <w:lang w:val="en-US" w:eastAsia="zh-CN" w:bidi="ar-SA"/>
    </w:rPr>
  </w:style>
  <w:style w:type="paragraph" w:customStyle="1" w:styleId="87">
    <w:name w:val="Char Char Char Char1"/>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autoRedefine/>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autoRedefine/>
    <w:qFormat/>
    <w:uiPriority w:val="0"/>
    <w:rPr>
      <w:rFonts w:ascii="仿宋_GB2312" w:eastAsia="仿宋_GB2312"/>
      <w:b/>
      <w:sz w:val="32"/>
      <w:szCs w:val="32"/>
    </w:rPr>
  </w:style>
  <w:style w:type="character" w:customStyle="1" w:styleId="91">
    <w:name w:val="tpc_title1"/>
    <w:autoRedefine/>
    <w:qFormat/>
    <w:uiPriority w:val="0"/>
    <w:rPr>
      <w:b/>
      <w:bCs/>
      <w:sz w:val="18"/>
      <w:szCs w:val="18"/>
    </w:rPr>
  </w:style>
  <w:style w:type="character" w:customStyle="1" w:styleId="92">
    <w:name w:val="tpc_content1"/>
    <w:autoRedefine/>
    <w:qFormat/>
    <w:uiPriority w:val="0"/>
    <w:rPr>
      <w:sz w:val="20"/>
      <w:szCs w:val="20"/>
    </w:rPr>
  </w:style>
  <w:style w:type="paragraph" w:customStyle="1" w:styleId="93">
    <w:name w:val="正文缩进2格"/>
    <w:basedOn w:val="1"/>
    <w:autoRedefine/>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autoRedefine/>
    <w:qFormat/>
    <w:uiPriority w:val="0"/>
    <w:pPr>
      <w:ind w:firstLine="420" w:firstLineChars="200"/>
    </w:pPr>
  </w:style>
  <w:style w:type="character" w:customStyle="1" w:styleId="95">
    <w:name w:val="列表段落 字符"/>
    <w:link w:val="94"/>
    <w:autoRedefine/>
    <w:qFormat/>
    <w:uiPriority w:val="34"/>
    <w:rPr>
      <w:kern w:val="2"/>
      <w:sz w:val="21"/>
      <w:szCs w:val="24"/>
    </w:rPr>
  </w:style>
  <w:style w:type="paragraph" w:customStyle="1" w:styleId="96">
    <w:name w:val="正文1"/>
    <w:basedOn w:val="1"/>
    <w:autoRedefine/>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autoRedefine/>
    <w:qFormat/>
    <w:uiPriority w:val="0"/>
    <w:pPr>
      <w:spacing w:line="360" w:lineRule="auto"/>
      <w:ind w:firstLine="200" w:firstLineChars="200"/>
    </w:pPr>
    <w:rPr>
      <w:rFonts w:ascii="Tahoma" w:hAnsi="Tahoma"/>
      <w:sz w:val="24"/>
    </w:rPr>
  </w:style>
  <w:style w:type="paragraph" w:customStyle="1" w:styleId="98">
    <w:name w:val="缩进正文"/>
    <w:basedOn w:val="1"/>
    <w:link w:val="99"/>
    <w:autoRedefine/>
    <w:qFormat/>
    <w:uiPriority w:val="0"/>
    <w:pPr>
      <w:ind w:firstLine="560" w:firstLineChars="200"/>
    </w:pPr>
    <w:rPr>
      <w:rFonts w:eastAsia="仿宋_GB2312" w:cs="宋体"/>
      <w:sz w:val="28"/>
      <w:szCs w:val="20"/>
    </w:rPr>
  </w:style>
  <w:style w:type="character" w:customStyle="1" w:styleId="99">
    <w:name w:val="缩进正文 Char"/>
    <w:link w:val="98"/>
    <w:autoRedefine/>
    <w:qFormat/>
    <w:uiPriority w:val="0"/>
    <w:rPr>
      <w:rFonts w:eastAsia="仿宋_GB2312" w:cs="宋体"/>
      <w:kern w:val="2"/>
      <w:sz w:val="28"/>
      <w:lang w:val="en-US" w:eastAsia="zh-CN" w:bidi="ar-SA"/>
    </w:rPr>
  </w:style>
  <w:style w:type="character" w:customStyle="1" w:styleId="100">
    <w:name w:val="访问过的超链接1"/>
    <w:autoRedefine/>
    <w:qFormat/>
    <w:uiPriority w:val="0"/>
    <w:rPr>
      <w:color w:val="800080"/>
      <w:u w:val="single"/>
    </w:rPr>
  </w:style>
  <w:style w:type="paragraph" w:customStyle="1" w:styleId="101">
    <w:name w:val="Char Char Char Char Char Char Char"/>
    <w:basedOn w:val="1"/>
    <w:autoRedefine/>
    <w:qFormat/>
    <w:uiPriority w:val="0"/>
    <w:pPr>
      <w:widowControl/>
      <w:adjustRightInd w:val="0"/>
      <w:spacing w:after="160" w:line="240" w:lineRule="exact"/>
      <w:jc w:val="left"/>
      <w:textAlignment w:val="baseline"/>
    </w:pPr>
  </w:style>
  <w:style w:type="character" w:customStyle="1" w:styleId="102">
    <w:name w:val="正文缩进 Char1"/>
    <w:autoRedefine/>
    <w:qFormat/>
    <w:uiPriority w:val="0"/>
    <w:rPr>
      <w:rFonts w:eastAsia="宋体"/>
      <w:kern w:val="2"/>
      <w:sz w:val="21"/>
      <w:lang w:val="en-US" w:eastAsia="zh-CN" w:bidi="ar-SA"/>
    </w:rPr>
  </w:style>
  <w:style w:type="paragraph" w:customStyle="1" w:styleId="103">
    <w:name w:val="Default"/>
    <w:autoRedefine/>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autoRedefine/>
    <w:unhideWhenUsed/>
    <w:qFormat/>
    <w:uiPriority w:val="34"/>
    <w:pPr>
      <w:ind w:firstLine="420" w:firstLineChars="200"/>
    </w:pPr>
  </w:style>
  <w:style w:type="paragraph" w:customStyle="1" w:styleId="105">
    <w:name w:val="Table Paragraph"/>
    <w:basedOn w:val="1"/>
    <w:autoRedefine/>
    <w:qFormat/>
    <w:uiPriority w:val="0"/>
    <w:pPr>
      <w:autoSpaceDE w:val="0"/>
      <w:autoSpaceDN w:val="0"/>
      <w:adjustRightInd w:val="0"/>
      <w:jc w:val="left"/>
    </w:pPr>
    <w:rPr>
      <w:rFonts w:ascii="宋体" w:hAnsi="宋体" w:cs="宋体"/>
      <w:kern w:val="0"/>
      <w:sz w:val="24"/>
    </w:rPr>
  </w:style>
  <w:style w:type="character" w:customStyle="1" w:styleId="106">
    <w:name w:val="font11"/>
    <w:basedOn w:val="52"/>
    <w:autoRedefine/>
    <w:qFormat/>
    <w:uiPriority w:val="0"/>
    <w:rPr>
      <w:rFonts w:hint="eastAsia" w:ascii="宋体" w:hAnsi="宋体" w:eastAsia="宋体" w:cs="宋体"/>
      <w:b/>
      <w:color w:val="000000"/>
      <w:sz w:val="21"/>
      <w:szCs w:val="21"/>
      <w:u w:val="none"/>
    </w:rPr>
  </w:style>
  <w:style w:type="character" w:customStyle="1" w:styleId="107">
    <w:name w:val="批注文字 Char1"/>
    <w:autoRedefine/>
    <w:qFormat/>
    <w:locked/>
    <w:uiPriority w:val="0"/>
    <w:rPr>
      <w:rFonts w:ascii="Calibri" w:hAnsi="Calibri" w:eastAsia="宋体" w:cs="Calibri"/>
      <w:szCs w:val="21"/>
    </w:rPr>
  </w:style>
  <w:style w:type="character" w:customStyle="1" w:styleId="108">
    <w:name w:val="title1"/>
    <w:autoRedefine/>
    <w:qFormat/>
    <w:uiPriority w:val="0"/>
    <w:rPr>
      <w:rFonts w:hint="eastAsia" w:ascii="微软雅黑" w:hAnsi="微软雅黑" w:eastAsia="微软雅黑"/>
      <w:sz w:val="21"/>
      <w:szCs w:val="21"/>
    </w:rPr>
  </w:style>
  <w:style w:type="character" w:customStyle="1" w:styleId="109">
    <w:name w:val="sect2title1"/>
    <w:autoRedefine/>
    <w:qFormat/>
    <w:uiPriority w:val="0"/>
    <w:rPr>
      <w:rFonts w:hint="eastAsia" w:ascii="微软雅黑" w:hAnsi="微软雅黑" w:eastAsia="微软雅黑"/>
      <w:b/>
      <w:bCs/>
      <w:sz w:val="21"/>
      <w:szCs w:val="21"/>
    </w:rPr>
  </w:style>
  <w:style w:type="paragraph" w:customStyle="1" w:styleId="110">
    <w:name w:val="标题1"/>
    <w:basedOn w:val="1"/>
    <w:autoRedefine/>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autoRedefine/>
    <w:qFormat/>
    <w:uiPriority w:val="0"/>
    <w:rPr>
      <w:rFonts w:ascii="Tahoma" w:hAnsi="Tahoma" w:eastAsia="Tahoma" w:cs="Tahoma"/>
      <w:color w:val="000000"/>
      <w:sz w:val="20"/>
      <w:szCs w:val="20"/>
      <w:u w:val="none"/>
    </w:rPr>
  </w:style>
  <w:style w:type="paragraph" w:customStyle="1" w:styleId="112">
    <w:name w:val="font5"/>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autoRedefine/>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autoRedefine/>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autoRedefine/>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autoRedefine/>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autoRedefine/>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autoRedefine/>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autoRedefine/>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autoRedefine/>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autoRedefine/>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autoRedefine/>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autoRedefine/>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autoRedefine/>
    <w:qFormat/>
    <w:uiPriority w:val="0"/>
    <w:rPr>
      <w:rFonts w:hint="eastAsia" w:ascii="仿宋_GB2312" w:eastAsia="仿宋_GB2312" w:cs="仿宋_GB2312"/>
      <w:color w:val="000000"/>
      <w:sz w:val="20"/>
      <w:szCs w:val="20"/>
      <w:u w:val="none"/>
    </w:rPr>
  </w:style>
  <w:style w:type="character" w:customStyle="1" w:styleId="167">
    <w:name w:val="font31"/>
    <w:basedOn w:val="52"/>
    <w:autoRedefine/>
    <w:qFormat/>
    <w:uiPriority w:val="0"/>
    <w:rPr>
      <w:rFonts w:hint="default" w:ascii="Symbol" w:hAnsi="Symbol" w:cs="Symbol"/>
      <w:color w:val="000000"/>
      <w:sz w:val="20"/>
      <w:szCs w:val="20"/>
      <w:u w:val="none"/>
    </w:rPr>
  </w:style>
  <w:style w:type="character" w:customStyle="1" w:styleId="168">
    <w:name w:val="font71"/>
    <w:basedOn w:val="52"/>
    <w:autoRedefine/>
    <w:qFormat/>
    <w:uiPriority w:val="0"/>
    <w:rPr>
      <w:rFonts w:ascii="Arial" w:hAnsi="Arial" w:cs="Arial"/>
      <w:color w:val="000000"/>
      <w:sz w:val="20"/>
      <w:szCs w:val="20"/>
      <w:u w:val="none"/>
    </w:rPr>
  </w:style>
  <w:style w:type="character" w:customStyle="1" w:styleId="169">
    <w:name w:val="font21"/>
    <w:basedOn w:val="52"/>
    <w:autoRedefine/>
    <w:qFormat/>
    <w:uiPriority w:val="0"/>
    <w:rPr>
      <w:rFonts w:hint="default" w:ascii="Symbol" w:hAnsi="Symbol" w:cs="Symbol"/>
      <w:color w:val="000000"/>
      <w:sz w:val="20"/>
      <w:szCs w:val="20"/>
      <w:u w:val="none"/>
    </w:rPr>
  </w:style>
  <w:style w:type="character" w:customStyle="1" w:styleId="170">
    <w:name w:val="font91"/>
    <w:basedOn w:val="52"/>
    <w:autoRedefine/>
    <w:qFormat/>
    <w:uiPriority w:val="0"/>
    <w:rPr>
      <w:rFonts w:ascii="Arial" w:hAnsi="Arial" w:cs="Arial"/>
      <w:color w:val="000000"/>
      <w:sz w:val="20"/>
      <w:szCs w:val="20"/>
      <w:u w:val="none"/>
    </w:rPr>
  </w:style>
  <w:style w:type="character" w:customStyle="1" w:styleId="171">
    <w:name w:val="font51"/>
    <w:basedOn w:val="52"/>
    <w:autoRedefine/>
    <w:qFormat/>
    <w:uiPriority w:val="0"/>
    <w:rPr>
      <w:rFonts w:ascii="仿宋" w:hAnsi="仿宋" w:eastAsia="仿宋" w:cs="仿宋"/>
      <w:color w:val="000000"/>
      <w:sz w:val="21"/>
      <w:szCs w:val="21"/>
      <w:u w:val="none"/>
    </w:rPr>
  </w:style>
  <w:style w:type="character" w:customStyle="1" w:styleId="172">
    <w:name w:val="font101"/>
    <w:basedOn w:val="52"/>
    <w:autoRedefine/>
    <w:qFormat/>
    <w:uiPriority w:val="0"/>
    <w:rPr>
      <w:rFonts w:hint="eastAsia" w:ascii="仿宋_GB2312" w:eastAsia="仿宋_GB2312" w:cs="仿宋_GB2312"/>
      <w:color w:val="000000"/>
      <w:sz w:val="20"/>
      <w:szCs w:val="20"/>
      <w:u w:val="none"/>
    </w:rPr>
  </w:style>
  <w:style w:type="character" w:customStyle="1" w:styleId="173">
    <w:name w:val="font61"/>
    <w:basedOn w:val="52"/>
    <w:autoRedefine/>
    <w:qFormat/>
    <w:uiPriority w:val="0"/>
    <w:rPr>
      <w:rFonts w:hint="eastAsia" w:ascii="宋体" w:hAnsi="宋体" w:eastAsia="宋体" w:cs="宋体"/>
      <w:color w:val="000000"/>
      <w:sz w:val="20"/>
      <w:szCs w:val="20"/>
      <w:u w:val="none"/>
    </w:rPr>
  </w:style>
  <w:style w:type="character" w:customStyle="1" w:styleId="174">
    <w:name w:val="font81"/>
    <w:basedOn w:val="52"/>
    <w:autoRedefine/>
    <w:qFormat/>
    <w:uiPriority w:val="0"/>
    <w:rPr>
      <w:rFonts w:hint="eastAsia" w:ascii="仿宋" w:hAnsi="仿宋" w:eastAsia="仿宋" w:cs="仿宋"/>
      <w:color w:val="000000"/>
      <w:sz w:val="21"/>
      <w:szCs w:val="21"/>
      <w:u w:val="none"/>
    </w:rPr>
  </w:style>
  <w:style w:type="character" w:customStyle="1" w:styleId="175">
    <w:name w:val="font111"/>
    <w:basedOn w:val="52"/>
    <w:autoRedefine/>
    <w:qFormat/>
    <w:uiPriority w:val="0"/>
    <w:rPr>
      <w:rFonts w:hint="eastAsia" w:ascii="仿宋_GB2312" w:eastAsia="仿宋_GB2312" w:cs="仿宋_GB2312"/>
      <w:color w:val="000000"/>
      <w:sz w:val="21"/>
      <w:szCs w:val="21"/>
      <w:u w:val="none"/>
    </w:rPr>
  </w:style>
  <w:style w:type="character" w:customStyle="1" w:styleId="176">
    <w:name w:val="font121"/>
    <w:basedOn w:val="52"/>
    <w:autoRedefine/>
    <w:qFormat/>
    <w:uiPriority w:val="0"/>
    <w:rPr>
      <w:rFonts w:ascii="Arial" w:hAnsi="Arial" w:cs="Arial"/>
      <w:color w:val="000000"/>
      <w:sz w:val="20"/>
      <w:szCs w:val="20"/>
      <w:u w:val="none"/>
    </w:rPr>
  </w:style>
  <w:style w:type="character" w:customStyle="1" w:styleId="177">
    <w:name w:val="font112"/>
    <w:basedOn w:val="52"/>
    <w:autoRedefine/>
    <w:qFormat/>
    <w:uiPriority w:val="0"/>
    <w:rPr>
      <w:rFonts w:hint="eastAsia" w:ascii="仿宋_GB2312" w:eastAsia="仿宋_GB2312" w:cs="仿宋_GB2312"/>
      <w:color w:val="000000"/>
      <w:sz w:val="21"/>
      <w:szCs w:val="21"/>
      <w:u w:val="none"/>
    </w:rPr>
  </w:style>
  <w:style w:type="paragraph" w:customStyle="1" w:styleId="178">
    <w:name w:val="xl29164"/>
    <w:basedOn w:val="1"/>
    <w:autoRedefine/>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autoRedefine/>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autoRedefine/>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autoRedefine/>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autoRedefine/>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autoRedefine/>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autoRedefine/>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autoRedefine/>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autoRedefine/>
    <w:qFormat/>
    <w:uiPriority w:val="0"/>
    <w:pPr>
      <w:spacing w:beforeLines="50"/>
      <w:ind w:firstLine="200" w:firstLineChars="200"/>
    </w:pPr>
    <w:rPr>
      <w:rFonts w:ascii="Calibri" w:hAnsi="Calibri" w:eastAsia="华文仿宋"/>
      <w:szCs w:val="22"/>
    </w:rPr>
  </w:style>
  <w:style w:type="paragraph" w:customStyle="1" w:styleId="256">
    <w:name w:val="正文A缩进"/>
    <w:basedOn w:val="1"/>
    <w:autoRedefine/>
    <w:qFormat/>
    <w:uiPriority w:val="0"/>
    <w:pPr>
      <w:spacing w:line="360" w:lineRule="auto"/>
      <w:ind w:firstLine="200" w:firstLineChars="200"/>
    </w:pPr>
    <w:rPr>
      <w:kern w:val="0"/>
      <w:sz w:val="28"/>
      <w:szCs w:val="20"/>
    </w:rPr>
  </w:style>
  <w:style w:type="paragraph" w:customStyle="1" w:styleId="257">
    <w:name w:val="_Style 1"/>
    <w:autoRedefine/>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autoRedefine/>
    <w:qFormat/>
    <w:uiPriority w:val="0"/>
    <w:rPr>
      <w:b/>
      <w:bCs/>
      <w:kern w:val="2"/>
      <w:sz w:val="28"/>
      <w:szCs w:val="28"/>
    </w:rPr>
  </w:style>
  <w:style w:type="character" w:customStyle="1" w:styleId="259">
    <w:name w:val="标题 6 Char"/>
    <w:basedOn w:val="52"/>
    <w:autoRedefine/>
    <w:qFormat/>
    <w:uiPriority w:val="9"/>
    <w:rPr>
      <w:rFonts w:asciiTheme="majorHAnsi" w:hAnsiTheme="majorHAnsi" w:eastAsiaTheme="majorEastAsia" w:cstheme="majorBidi"/>
      <w:b/>
      <w:bCs/>
      <w:kern w:val="2"/>
      <w:sz w:val="24"/>
      <w:szCs w:val="24"/>
    </w:rPr>
  </w:style>
  <w:style w:type="character" w:customStyle="1" w:styleId="260">
    <w:name w:val="标题 7 Char"/>
    <w:basedOn w:val="52"/>
    <w:autoRedefine/>
    <w:qFormat/>
    <w:uiPriority w:val="9"/>
    <w:rPr>
      <w:b/>
      <w:bCs/>
      <w:kern w:val="2"/>
      <w:sz w:val="24"/>
      <w:szCs w:val="24"/>
    </w:rPr>
  </w:style>
  <w:style w:type="character" w:customStyle="1" w:styleId="261">
    <w:name w:val="标题 8 Char"/>
    <w:basedOn w:val="52"/>
    <w:autoRedefine/>
    <w:qFormat/>
    <w:uiPriority w:val="9"/>
    <w:rPr>
      <w:rFonts w:asciiTheme="majorHAnsi" w:hAnsiTheme="majorHAnsi" w:eastAsiaTheme="majorEastAsia" w:cstheme="majorBidi"/>
      <w:kern w:val="2"/>
      <w:sz w:val="24"/>
      <w:szCs w:val="24"/>
    </w:rPr>
  </w:style>
  <w:style w:type="character" w:customStyle="1" w:styleId="262">
    <w:name w:val="标题 9 Char"/>
    <w:basedOn w:val="52"/>
    <w:autoRedefine/>
    <w:qFormat/>
    <w:uiPriority w:val="0"/>
    <w:rPr>
      <w:rFonts w:asciiTheme="majorHAnsi" w:hAnsiTheme="majorHAnsi" w:eastAsiaTheme="majorEastAsia" w:cstheme="majorBidi"/>
      <w:kern w:val="2"/>
      <w:sz w:val="21"/>
      <w:szCs w:val="21"/>
    </w:rPr>
  </w:style>
  <w:style w:type="paragraph" w:customStyle="1" w:styleId="263">
    <w:name w:val="！表格内容"/>
    <w:basedOn w:val="1"/>
    <w:autoRedefine/>
    <w:qFormat/>
    <w:uiPriority w:val="0"/>
    <w:pPr>
      <w:spacing w:line="320" w:lineRule="atLeast"/>
    </w:pPr>
  </w:style>
  <w:style w:type="character" w:customStyle="1" w:styleId="264">
    <w:name w:val="页眉 Char2"/>
    <w:basedOn w:val="52"/>
    <w:autoRedefine/>
    <w:qFormat/>
    <w:uiPriority w:val="99"/>
    <w:rPr>
      <w:rFonts w:ascii="Times New Roman" w:hAnsi="Times New Roman" w:eastAsia="宋体" w:cs="Times New Roman"/>
      <w:sz w:val="18"/>
      <w:szCs w:val="18"/>
    </w:rPr>
  </w:style>
  <w:style w:type="character" w:customStyle="1" w:styleId="265">
    <w:name w:val="页脚 Char1"/>
    <w:basedOn w:val="52"/>
    <w:autoRedefine/>
    <w:qFormat/>
    <w:uiPriority w:val="99"/>
    <w:rPr>
      <w:rFonts w:ascii="Times New Roman" w:hAnsi="Times New Roman" w:eastAsia="宋体" w:cs="Times New Roman"/>
      <w:sz w:val="18"/>
      <w:szCs w:val="18"/>
    </w:rPr>
  </w:style>
  <w:style w:type="paragraph" w:customStyle="1" w:styleId="266">
    <w:name w:val="Ｒ03－xoL"/>
    <w:next w:val="1"/>
    <w:autoRedefine/>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autoRedefine/>
    <w:qFormat/>
    <w:uiPriority w:val="99"/>
    <w:rPr>
      <w:rFonts w:ascii="Times New Roman" w:hAnsi="Times New Roman" w:eastAsia="宋体" w:cs="Times New Roman"/>
      <w:szCs w:val="24"/>
    </w:rPr>
  </w:style>
  <w:style w:type="character" w:customStyle="1" w:styleId="268">
    <w:name w:val="文档结构图 Char1"/>
    <w:basedOn w:val="52"/>
    <w:autoRedefine/>
    <w:qFormat/>
    <w:uiPriority w:val="0"/>
    <w:rPr>
      <w:rFonts w:ascii="宋体" w:hAnsi="Times New Roman" w:eastAsia="宋体" w:cs="Times New Roman"/>
      <w:sz w:val="18"/>
      <w:szCs w:val="18"/>
    </w:rPr>
  </w:style>
  <w:style w:type="character" w:customStyle="1" w:styleId="269">
    <w:name w:val="批注主题 Char1"/>
    <w:basedOn w:val="107"/>
    <w:autoRedefine/>
    <w:qFormat/>
    <w:uiPriority w:val="0"/>
    <w:rPr>
      <w:rFonts w:ascii="Times New Roman" w:hAnsi="Times New Roman" w:eastAsia="宋体" w:cs="Times New Roman"/>
      <w:b/>
      <w:bCs/>
      <w:szCs w:val="24"/>
    </w:rPr>
  </w:style>
  <w:style w:type="character" w:customStyle="1" w:styleId="270">
    <w:name w:val="批注框文本 Char1"/>
    <w:basedOn w:val="52"/>
    <w:autoRedefine/>
    <w:qFormat/>
    <w:uiPriority w:val="0"/>
    <w:rPr>
      <w:rFonts w:ascii="Times New Roman" w:hAnsi="Times New Roman" w:eastAsia="宋体" w:cs="Times New Roman"/>
      <w:sz w:val="18"/>
      <w:szCs w:val="18"/>
    </w:rPr>
  </w:style>
  <w:style w:type="character" w:customStyle="1" w:styleId="271">
    <w:name w:val="标题 1 Char1"/>
    <w:basedOn w:val="52"/>
    <w:autoRedefine/>
    <w:qFormat/>
    <w:uiPriority w:val="0"/>
    <w:rPr>
      <w:b/>
      <w:bCs/>
      <w:kern w:val="44"/>
      <w:sz w:val="44"/>
      <w:szCs w:val="44"/>
    </w:rPr>
  </w:style>
  <w:style w:type="character" w:customStyle="1" w:styleId="272">
    <w:name w:val="标题 2 Char1"/>
    <w:basedOn w:val="52"/>
    <w:autoRedefine/>
    <w:qFormat/>
    <w:uiPriority w:val="0"/>
    <w:rPr>
      <w:rFonts w:asciiTheme="majorHAnsi" w:hAnsiTheme="majorHAnsi" w:eastAsiaTheme="majorEastAsia" w:cstheme="majorBidi"/>
      <w:b/>
      <w:bCs/>
      <w:kern w:val="2"/>
      <w:sz w:val="32"/>
      <w:szCs w:val="32"/>
    </w:rPr>
  </w:style>
  <w:style w:type="character" w:customStyle="1" w:styleId="273">
    <w:name w:val="标题 3 Char1"/>
    <w:basedOn w:val="52"/>
    <w:autoRedefine/>
    <w:qFormat/>
    <w:uiPriority w:val="99"/>
    <w:rPr>
      <w:rFonts w:ascii="宋体" w:hAnsi="Arial"/>
      <w:b/>
      <w:kern w:val="2"/>
      <w:sz w:val="28"/>
    </w:rPr>
  </w:style>
  <w:style w:type="character" w:customStyle="1" w:styleId="274">
    <w:name w:val="Char Char3"/>
    <w:autoRedefine/>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autoRedefine/>
    <w:qFormat/>
    <w:uiPriority w:val="0"/>
    <w:rPr>
      <w:rFonts w:eastAsia="Times New Roman"/>
      <w:sz w:val="24"/>
      <w:szCs w:val="24"/>
    </w:rPr>
  </w:style>
  <w:style w:type="paragraph" w:customStyle="1" w:styleId="276">
    <w:name w:val="正文－段落"/>
    <w:link w:val="275"/>
    <w:autoRedefine/>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autoRedefine/>
    <w:qFormat/>
    <w:uiPriority w:val="0"/>
    <w:rPr>
      <w:rFonts w:ascii="宋体" w:hAnsi="Courier New"/>
      <w:spacing w:val="-8"/>
      <w:kern w:val="2"/>
      <w:sz w:val="24"/>
    </w:rPr>
  </w:style>
  <w:style w:type="character" w:customStyle="1" w:styleId="278">
    <w:name w:val="日期 Char"/>
    <w:autoRedefine/>
    <w:qFormat/>
    <w:uiPriority w:val="0"/>
    <w:rPr>
      <w:rFonts w:ascii="宋体" w:hAnsi="宋体"/>
      <w:sz w:val="24"/>
    </w:rPr>
  </w:style>
  <w:style w:type="character" w:customStyle="1" w:styleId="279">
    <w:name w:val="Char Char9"/>
    <w:autoRedefine/>
    <w:qFormat/>
    <w:uiPriority w:val="0"/>
    <w:rPr>
      <w:rFonts w:hint="default" w:ascii="Calibri" w:hAnsi="Calibri" w:eastAsia="宋体"/>
      <w:sz w:val="18"/>
      <w:szCs w:val="18"/>
      <w:lang w:bidi="ar-SA"/>
    </w:rPr>
  </w:style>
  <w:style w:type="character" w:customStyle="1" w:styleId="280">
    <w:name w:val="Char Char17"/>
    <w:autoRedefine/>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autoRedefine/>
    <w:qFormat/>
    <w:uiPriority w:val="0"/>
    <w:rPr>
      <w:rFonts w:ascii="黑体" w:hAnsi="Courier New" w:eastAsia="黑体" w:cs="Courier New"/>
    </w:rPr>
  </w:style>
  <w:style w:type="character" w:customStyle="1" w:styleId="282">
    <w:name w:val="1.5倍行距 Char Char"/>
    <w:link w:val="283"/>
    <w:autoRedefine/>
    <w:qFormat/>
    <w:uiPriority w:val="0"/>
    <w:rPr>
      <w:kern w:val="2"/>
      <w:sz w:val="21"/>
      <w:szCs w:val="24"/>
    </w:rPr>
  </w:style>
  <w:style w:type="paragraph" w:customStyle="1" w:styleId="283">
    <w:name w:val="1.5倍行距"/>
    <w:basedOn w:val="1"/>
    <w:link w:val="282"/>
    <w:autoRedefine/>
    <w:qFormat/>
    <w:uiPriority w:val="0"/>
    <w:pPr>
      <w:spacing w:line="360" w:lineRule="auto"/>
      <w:ind w:firstLine="420"/>
    </w:pPr>
  </w:style>
  <w:style w:type="character" w:customStyle="1" w:styleId="284">
    <w:name w:val="H2 Char1"/>
    <w:autoRedefine/>
    <w:qFormat/>
    <w:uiPriority w:val="0"/>
    <w:rPr>
      <w:rFonts w:ascii="Cambria" w:hAnsi="Cambria"/>
      <w:b/>
      <w:bCs/>
      <w:sz w:val="32"/>
      <w:szCs w:val="32"/>
    </w:rPr>
  </w:style>
  <w:style w:type="character" w:customStyle="1" w:styleId="285">
    <w:name w:val="Char Char4"/>
    <w:autoRedefine/>
    <w:qFormat/>
    <w:uiPriority w:val="0"/>
    <w:rPr>
      <w:rFonts w:hint="default" w:ascii="Calibri" w:hAnsi="Calibri" w:eastAsia="宋体"/>
      <w:kern w:val="2"/>
      <w:sz w:val="21"/>
      <w:szCs w:val="22"/>
      <w:lang w:val="en-US" w:eastAsia="zh-CN" w:bidi="ar-SA"/>
    </w:rPr>
  </w:style>
  <w:style w:type="character" w:customStyle="1" w:styleId="286">
    <w:name w:val="正文文本缩进 2 Char"/>
    <w:autoRedefine/>
    <w:qFormat/>
    <w:uiPriority w:val="0"/>
    <w:rPr>
      <w:kern w:val="2"/>
      <w:sz w:val="21"/>
    </w:rPr>
  </w:style>
  <w:style w:type="character" w:customStyle="1" w:styleId="287">
    <w:name w:val="签名 Char1"/>
    <w:link w:val="33"/>
    <w:autoRedefine/>
    <w:qFormat/>
    <w:uiPriority w:val="0"/>
    <w:rPr>
      <w:rFonts w:eastAsia="楷体_GB2312"/>
      <w:kern w:val="2"/>
      <w:sz w:val="21"/>
    </w:rPr>
  </w:style>
  <w:style w:type="character" w:customStyle="1" w:styleId="288">
    <w:name w:val="标题2 Char"/>
    <w:link w:val="289"/>
    <w:autoRedefine/>
    <w:qFormat/>
    <w:uiPriority w:val="0"/>
    <w:rPr>
      <w:rFonts w:ascii="仿宋" w:hAnsi="仿宋" w:eastAsia="仿宋"/>
      <w:b/>
      <w:bCs/>
      <w:color w:val="000000"/>
      <w:kern w:val="2"/>
      <w:sz w:val="24"/>
      <w:szCs w:val="24"/>
    </w:rPr>
  </w:style>
  <w:style w:type="paragraph" w:customStyle="1" w:styleId="289">
    <w:name w:val="标题2"/>
    <w:basedOn w:val="290"/>
    <w:link w:val="288"/>
    <w:autoRedefine/>
    <w:qFormat/>
    <w:uiPriority w:val="0"/>
    <w:pPr>
      <w:tabs>
        <w:tab w:val="left" w:pos="425"/>
        <w:tab w:val="left" w:pos="709"/>
        <w:tab w:val="left" w:pos="851"/>
        <w:tab w:val="left" w:pos="1419"/>
      </w:tabs>
    </w:pPr>
    <w:rPr>
      <w:szCs w:val="24"/>
    </w:rPr>
  </w:style>
  <w:style w:type="paragraph" w:customStyle="1" w:styleId="290">
    <w:name w:val="三级"/>
    <w:basedOn w:val="3"/>
    <w:link w:val="291"/>
    <w:autoRedefine/>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autoRedefine/>
    <w:qFormat/>
    <w:uiPriority w:val="0"/>
    <w:rPr>
      <w:rFonts w:ascii="仿宋" w:hAnsi="仿宋" w:eastAsia="仿宋"/>
      <w:b/>
      <w:bCs/>
      <w:color w:val="000000"/>
      <w:kern w:val="2"/>
      <w:sz w:val="32"/>
      <w:szCs w:val="32"/>
    </w:rPr>
  </w:style>
  <w:style w:type="character" w:customStyle="1" w:styleId="292">
    <w:name w:val="正文首行缩进 2 Char"/>
    <w:link w:val="49"/>
    <w:autoRedefine/>
    <w:qFormat/>
    <w:uiPriority w:val="0"/>
    <w:rPr>
      <w:sz w:val="24"/>
      <w:szCs w:val="24"/>
    </w:rPr>
  </w:style>
  <w:style w:type="character" w:customStyle="1" w:styleId="293">
    <w:name w:val="正文首行缩进 Char Char Char1"/>
    <w:autoRedefine/>
    <w:qFormat/>
    <w:uiPriority w:val="0"/>
    <w:rPr>
      <w:rFonts w:ascii="Times New Roman" w:hAnsi="Times New Roman"/>
      <w:kern w:val="2"/>
      <w:sz w:val="24"/>
      <w:szCs w:val="24"/>
    </w:rPr>
  </w:style>
  <w:style w:type="character" w:customStyle="1" w:styleId="294">
    <w:name w:val="标题 Char1"/>
    <w:autoRedefine/>
    <w:qFormat/>
    <w:uiPriority w:val="0"/>
    <w:rPr>
      <w:rFonts w:ascii="Arial" w:hAnsi="Arial"/>
      <w:b/>
      <w:kern w:val="2"/>
      <w:sz w:val="36"/>
      <w:szCs w:val="24"/>
    </w:rPr>
  </w:style>
  <w:style w:type="character" w:customStyle="1" w:styleId="295">
    <w:name w:val="正文文本 字符"/>
    <w:autoRedefine/>
    <w:qFormat/>
    <w:uiPriority w:val="0"/>
    <w:rPr>
      <w:rFonts w:eastAsia="宋体"/>
      <w:kern w:val="2"/>
      <w:sz w:val="21"/>
      <w:szCs w:val="24"/>
      <w:lang w:bidi="ar-SA"/>
    </w:rPr>
  </w:style>
  <w:style w:type="character" w:customStyle="1" w:styleId="296">
    <w:name w:val="正文文本缩进 Char"/>
    <w:autoRedefine/>
    <w:qFormat/>
    <w:uiPriority w:val="0"/>
    <w:rPr>
      <w:kern w:val="2"/>
      <w:sz w:val="24"/>
    </w:rPr>
  </w:style>
  <w:style w:type="character" w:customStyle="1" w:styleId="297">
    <w:name w:val="题注 Char1"/>
    <w:link w:val="15"/>
    <w:autoRedefine/>
    <w:qFormat/>
    <w:uiPriority w:val="0"/>
    <w:rPr>
      <w:rFonts w:ascii="Cambria" w:hAnsi="Cambria" w:eastAsia="黑体"/>
      <w:kern w:val="2"/>
      <w:sz w:val="21"/>
      <w:szCs w:val="24"/>
    </w:rPr>
  </w:style>
  <w:style w:type="character" w:customStyle="1" w:styleId="298">
    <w:name w:val="bt Char1"/>
    <w:autoRedefine/>
    <w:qFormat/>
    <w:uiPriority w:val="0"/>
    <w:rPr>
      <w:rFonts w:ascii="Times New Roman" w:hAnsi="Times New Roman"/>
      <w:kern w:val="2"/>
      <w:sz w:val="24"/>
      <w:szCs w:val="24"/>
    </w:rPr>
  </w:style>
  <w:style w:type="character" w:customStyle="1" w:styleId="299">
    <w:name w:val="Char Char18"/>
    <w:autoRedefine/>
    <w:qFormat/>
    <w:uiPriority w:val="0"/>
    <w:rPr>
      <w:rFonts w:hint="default" w:ascii="Cambria" w:hAnsi="Cambria" w:eastAsia="宋体"/>
      <w:b/>
      <w:bCs/>
      <w:sz w:val="32"/>
      <w:szCs w:val="32"/>
      <w:lang w:bidi="ar-SA"/>
    </w:rPr>
  </w:style>
  <w:style w:type="character" w:customStyle="1" w:styleId="300">
    <w:name w:val="四级 Char"/>
    <w:link w:val="301"/>
    <w:autoRedefine/>
    <w:qFormat/>
    <w:uiPriority w:val="0"/>
    <w:rPr>
      <w:rFonts w:ascii="仿宋" w:hAnsi="仿宋" w:eastAsia="仿宋"/>
      <w:bCs/>
      <w:kern w:val="2"/>
      <w:sz w:val="32"/>
      <w:szCs w:val="32"/>
    </w:rPr>
  </w:style>
  <w:style w:type="paragraph" w:customStyle="1" w:styleId="301">
    <w:name w:val="四级"/>
    <w:basedOn w:val="5"/>
    <w:link w:val="300"/>
    <w:autoRedefine/>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autoRedefine/>
    <w:qFormat/>
    <w:uiPriority w:val="0"/>
  </w:style>
  <w:style w:type="character" w:customStyle="1" w:styleId="303">
    <w:name w:val="p141"/>
    <w:autoRedefine/>
    <w:qFormat/>
    <w:uiPriority w:val="0"/>
    <w:rPr>
      <w:sz w:val="21"/>
      <w:szCs w:val="21"/>
    </w:rPr>
  </w:style>
  <w:style w:type="character" w:customStyle="1" w:styleId="304">
    <w:name w:val="正文文本缩进 3 Char"/>
    <w:autoRedefine/>
    <w:qFormat/>
    <w:uiPriority w:val="0"/>
    <w:rPr>
      <w:kern w:val="2"/>
      <w:sz w:val="21"/>
    </w:rPr>
  </w:style>
  <w:style w:type="character" w:customStyle="1" w:styleId="305">
    <w:name w:val="Char Char13"/>
    <w:autoRedefine/>
    <w:qFormat/>
    <w:uiPriority w:val="0"/>
    <w:rPr>
      <w:rFonts w:ascii="Cambria" w:hAnsi="Cambria" w:eastAsia="宋体"/>
      <w:sz w:val="24"/>
      <w:szCs w:val="24"/>
      <w:lang w:bidi="ar-SA"/>
    </w:rPr>
  </w:style>
  <w:style w:type="character" w:customStyle="1" w:styleId="306">
    <w:name w:val="正文文本 2 Char1"/>
    <w:link w:val="43"/>
    <w:autoRedefine/>
    <w:qFormat/>
    <w:uiPriority w:val="0"/>
    <w:rPr>
      <w:kern w:val="2"/>
      <w:sz w:val="28"/>
    </w:rPr>
  </w:style>
  <w:style w:type="character" w:customStyle="1" w:styleId="307">
    <w:name w:val="Char Char5"/>
    <w:autoRedefine/>
    <w:qFormat/>
    <w:uiPriority w:val="0"/>
    <w:rPr>
      <w:rFonts w:ascii="宋体" w:hAnsi="宋体" w:eastAsia="宋体"/>
      <w:b/>
      <w:bCs/>
      <w:szCs w:val="24"/>
      <w:lang w:bidi="ar-SA"/>
    </w:rPr>
  </w:style>
  <w:style w:type="character" w:customStyle="1" w:styleId="308">
    <w:name w:val="正文文本 2 Char"/>
    <w:autoRedefine/>
    <w:qFormat/>
    <w:uiPriority w:val="0"/>
    <w:rPr>
      <w:kern w:val="2"/>
      <w:sz w:val="28"/>
    </w:rPr>
  </w:style>
  <w:style w:type="character" w:customStyle="1" w:styleId="309">
    <w:name w:val="Char Char6"/>
    <w:autoRedefine/>
    <w:qFormat/>
    <w:uiPriority w:val="0"/>
    <w:rPr>
      <w:rFonts w:ascii="宋体" w:hAnsi="宋体" w:eastAsia="宋体"/>
      <w:szCs w:val="24"/>
      <w:lang w:bidi="ar-SA"/>
    </w:rPr>
  </w:style>
  <w:style w:type="character" w:customStyle="1" w:styleId="310">
    <w:name w:val="Char Char15"/>
    <w:autoRedefine/>
    <w:qFormat/>
    <w:uiPriority w:val="0"/>
    <w:rPr>
      <w:rFonts w:hint="default" w:ascii="Cambria" w:hAnsi="Cambria" w:eastAsia="宋体"/>
      <w:b/>
      <w:bCs/>
      <w:sz w:val="24"/>
      <w:szCs w:val="24"/>
      <w:lang w:bidi="ar-SA"/>
    </w:rPr>
  </w:style>
  <w:style w:type="character" w:customStyle="1" w:styleId="311">
    <w:name w:val="H4 Char"/>
    <w:autoRedefine/>
    <w:qFormat/>
    <w:uiPriority w:val="0"/>
    <w:rPr>
      <w:rFonts w:ascii="Cambria" w:hAnsi="Cambria" w:eastAsia="仿宋_GB2312"/>
      <w:b/>
      <w:bCs/>
      <w:sz w:val="32"/>
      <w:szCs w:val="28"/>
    </w:rPr>
  </w:style>
  <w:style w:type="character" w:customStyle="1" w:styleId="312">
    <w:name w:val="Char Char20"/>
    <w:autoRedefine/>
    <w:qFormat/>
    <w:uiPriority w:val="0"/>
    <w:rPr>
      <w:rFonts w:eastAsia="宋体"/>
      <w:b/>
      <w:kern w:val="2"/>
      <w:sz w:val="28"/>
      <w:lang w:bidi="ar-SA"/>
    </w:rPr>
  </w:style>
  <w:style w:type="character" w:customStyle="1" w:styleId="313">
    <w:name w:val="正文文本缩进 3 Char1"/>
    <w:link w:val="40"/>
    <w:autoRedefine/>
    <w:qFormat/>
    <w:uiPriority w:val="0"/>
    <w:rPr>
      <w:kern w:val="2"/>
      <w:sz w:val="21"/>
    </w:rPr>
  </w:style>
  <w:style w:type="character" w:customStyle="1" w:styleId="314">
    <w:name w:val="Char Char16"/>
    <w:autoRedefine/>
    <w:qFormat/>
    <w:uiPriority w:val="0"/>
    <w:rPr>
      <w:rFonts w:hint="eastAsia" w:ascii="仿宋_GB2313" w:hAnsi="仿宋_GB2313" w:eastAsia="仿宋_GB2312"/>
      <w:b/>
      <w:bCs/>
      <w:sz w:val="32"/>
      <w:szCs w:val="28"/>
      <w:lang w:bidi="ar-SA"/>
    </w:rPr>
  </w:style>
  <w:style w:type="character" w:customStyle="1" w:styleId="315">
    <w:name w:val="Char Char7"/>
    <w:autoRedefine/>
    <w:qFormat/>
    <w:uiPriority w:val="0"/>
    <w:rPr>
      <w:rFonts w:ascii="宋体" w:hAnsi="宋体" w:eastAsia="宋体"/>
      <w:sz w:val="24"/>
      <w:szCs w:val="24"/>
      <w:lang w:bidi="ar-SA"/>
    </w:rPr>
  </w:style>
  <w:style w:type="character" w:customStyle="1" w:styleId="316">
    <w:name w:val="日期 Char1"/>
    <w:link w:val="28"/>
    <w:autoRedefine/>
    <w:qFormat/>
    <w:uiPriority w:val="0"/>
    <w:rPr>
      <w:rFonts w:ascii="宋体" w:hAnsi="宋体"/>
      <w:kern w:val="2"/>
      <w:sz w:val="24"/>
      <w:szCs w:val="24"/>
    </w:rPr>
  </w:style>
  <w:style w:type="character" w:customStyle="1" w:styleId="317">
    <w:name w:val="Char Char12"/>
    <w:autoRedefine/>
    <w:qFormat/>
    <w:uiPriority w:val="0"/>
    <w:rPr>
      <w:rFonts w:hint="default" w:ascii="Cambria" w:hAnsi="Cambria" w:eastAsia="宋体"/>
      <w:szCs w:val="21"/>
      <w:lang w:bidi="ar-SA"/>
    </w:rPr>
  </w:style>
  <w:style w:type="character" w:customStyle="1" w:styleId="318">
    <w:name w:val="标题 4 Char"/>
    <w:autoRedefine/>
    <w:qFormat/>
    <w:uiPriority w:val="0"/>
    <w:rPr>
      <w:rFonts w:ascii="Arial" w:hAnsi="Arial" w:eastAsia="黑体"/>
      <w:b/>
      <w:kern w:val="2"/>
      <w:sz w:val="24"/>
    </w:rPr>
  </w:style>
  <w:style w:type="character" w:customStyle="1" w:styleId="319">
    <w:name w:val="Char Char2"/>
    <w:autoRedefine/>
    <w:qFormat/>
    <w:uiPriority w:val="0"/>
    <w:rPr>
      <w:rFonts w:ascii="宋体" w:hAnsi="宋体" w:eastAsia="宋体"/>
      <w:kern w:val="2"/>
      <w:sz w:val="24"/>
      <w:szCs w:val="24"/>
      <w:lang w:val="en-US" w:eastAsia="zh-CN" w:bidi="ar-SA"/>
    </w:rPr>
  </w:style>
  <w:style w:type="character" w:customStyle="1" w:styleId="320">
    <w:name w:val="*正文 Char"/>
    <w:link w:val="321"/>
    <w:autoRedefine/>
    <w:qFormat/>
    <w:uiPriority w:val="0"/>
    <w:rPr>
      <w:rFonts w:ascii="宋体" w:hAnsi="宋体"/>
      <w:sz w:val="24"/>
      <w:szCs w:val="24"/>
    </w:rPr>
  </w:style>
  <w:style w:type="paragraph" w:customStyle="1" w:styleId="321">
    <w:name w:val="*正文"/>
    <w:basedOn w:val="1"/>
    <w:link w:val="320"/>
    <w:autoRedefine/>
    <w:qFormat/>
    <w:uiPriority w:val="0"/>
    <w:pPr>
      <w:spacing w:line="360" w:lineRule="auto"/>
      <w:ind w:firstLine="200" w:firstLineChars="200"/>
    </w:pPr>
    <w:rPr>
      <w:rFonts w:ascii="宋体" w:hAnsi="宋体"/>
      <w:kern w:val="0"/>
      <w:sz w:val="24"/>
    </w:rPr>
  </w:style>
  <w:style w:type="character" w:customStyle="1" w:styleId="322">
    <w:name w:val="页脚 字符1"/>
    <w:autoRedefine/>
    <w:qFormat/>
    <w:uiPriority w:val="0"/>
    <w:rPr>
      <w:rFonts w:eastAsia="宋体"/>
      <w:kern w:val="2"/>
      <w:sz w:val="18"/>
      <w:lang w:bidi="ar-SA"/>
    </w:rPr>
  </w:style>
  <w:style w:type="character" w:customStyle="1" w:styleId="323">
    <w:name w:val="GP正文[858D7CFB-ED40-4347-BF05-701D383B685F]"/>
    <w:link w:val="324"/>
    <w:autoRedefine/>
    <w:qFormat/>
    <w:uiPriority w:val="0"/>
    <w:rPr>
      <w:rFonts w:ascii="宋体" w:hAnsi="宋体"/>
      <w:kern w:val="2"/>
      <w:sz w:val="24"/>
      <w:szCs w:val="24"/>
    </w:rPr>
  </w:style>
  <w:style w:type="paragraph" w:customStyle="1" w:styleId="324">
    <w:name w:val="GP正文"/>
    <w:basedOn w:val="1"/>
    <w:link w:val="323"/>
    <w:autoRedefine/>
    <w:qFormat/>
    <w:uiPriority w:val="0"/>
    <w:pPr>
      <w:spacing w:line="360" w:lineRule="auto"/>
      <w:ind w:firstLine="200" w:firstLineChars="200"/>
      <w:jc w:val="left"/>
    </w:pPr>
    <w:rPr>
      <w:rFonts w:ascii="宋体" w:hAnsi="宋体"/>
      <w:sz w:val="24"/>
    </w:rPr>
  </w:style>
  <w:style w:type="character" w:customStyle="1" w:styleId="325">
    <w:name w:val="Char Char14"/>
    <w:autoRedefine/>
    <w:qFormat/>
    <w:uiPriority w:val="0"/>
    <w:rPr>
      <w:rFonts w:ascii="Calibri" w:hAnsi="Calibri" w:eastAsia="宋体"/>
      <w:b/>
      <w:bCs/>
      <w:sz w:val="24"/>
      <w:szCs w:val="24"/>
      <w:lang w:bidi="ar-SA"/>
    </w:rPr>
  </w:style>
  <w:style w:type="character" w:customStyle="1" w:styleId="326">
    <w:name w:val="Char Char19"/>
    <w:autoRedefine/>
    <w:qFormat/>
    <w:uiPriority w:val="0"/>
    <w:rPr>
      <w:rFonts w:ascii="Arial" w:hAnsi="Arial" w:eastAsia="黑体"/>
      <w:b/>
      <w:kern w:val="2"/>
      <w:sz w:val="24"/>
      <w:lang w:bidi="ar-SA"/>
    </w:rPr>
  </w:style>
  <w:style w:type="character" w:customStyle="1" w:styleId="327">
    <w:name w:val="正文文本 Char1"/>
    <w:autoRedefine/>
    <w:qFormat/>
    <w:uiPriority w:val="0"/>
    <w:rPr>
      <w:kern w:val="2"/>
      <w:sz w:val="21"/>
      <w:szCs w:val="24"/>
    </w:rPr>
  </w:style>
  <w:style w:type="character" w:customStyle="1" w:styleId="328">
    <w:name w:val="二级 Char"/>
    <w:link w:val="329"/>
    <w:autoRedefine/>
    <w:qFormat/>
    <w:uiPriority w:val="0"/>
    <w:rPr>
      <w:rFonts w:ascii="仿宋" w:hAnsi="仿宋" w:eastAsia="仿宋"/>
      <w:b/>
      <w:bCs/>
      <w:spacing w:val="24"/>
      <w:kern w:val="2"/>
      <w:sz w:val="32"/>
      <w:szCs w:val="32"/>
    </w:rPr>
  </w:style>
  <w:style w:type="paragraph" w:customStyle="1" w:styleId="329">
    <w:name w:val="二级"/>
    <w:basedOn w:val="4"/>
    <w:link w:val="328"/>
    <w:autoRedefine/>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autoRedefine/>
    <w:qFormat/>
    <w:uiPriority w:val="0"/>
    <w:rPr>
      <w:rFonts w:eastAsia="楷体_GB2312"/>
      <w:kern w:val="2"/>
      <w:sz w:val="21"/>
    </w:rPr>
  </w:style>
  <w:style w:type="character" w:customStyle="1" w:styleId="331">
    <w:name w:val="Char Char"/>
    <w:autoRedefine/>
    <w:qFormat/>
    <w:uiPriority w:val="0"/>
    <w:rPr>
      <w:rFonts w:hint="eastAsia" w:ascii="宋体" w:hAnsi="Courier New" w:eastAsia="宋体"/>
      <w:spacing w:val="-8"/>
      <w:kern w:val="2"/>
      <w:sz w:val="24"/>
      <w:lang w:val="en-US" w:eastAsia="zh-CN" w:bidi="ar-SA"/>
    </w:rPr>
  </w:style>
  <w:style w:type="character" w:customStyle="1" w:styleId="332">
    <w:name w:val="Char Char11"/>
    <w:autoRedefine/>
    <w:qFormat/>
    <w:uiPriority w:val="0"/>
    <w:rPr>
      <w:rFonts w:hint="default" w:ascii="Calibri" w:hAnsi="Calibri" w:eastAsia="宋体"/>
      <w:sz w:val="18"/>
      <w:szCs w:val="18"/>
      <w:lang w:bidi="ar-SA"/>
    </w:rPr>
  </w:style>
  <w:style w:type="character" w:customStyle="1" w:styleId="333">
    <w:name w:val="页眉 字符1"/>
    <w:autoRedefine/>
    <w:qFormat/>
    <w:uiPriority w:val="0"/>
    <w:rPr>
      <w:rFonts w:eastAsia="宋体"/>
      <w:kern w:val="2"/>
      <w:sz w:val="18"/>
      <w:szCs w:val="18"/>
      <w:lang w:bidi="ar-SA"/>
    </w:rPr>
  </w:style>
  <w:style w:type="character" w:customStyle="1" w:styleId="334">
    <w:name w:val="正文首行缩进 Char1"/>
    <w:autoRedefine/>
    <w:qFormat/>
    <w:uiPriority w:val="0"/>
    <w:rPr>
      <w:kern w:val="2"/>
      <w:sz w:val="21"/>
    </w:rPr>
  </w:style>
  <w:style w:type="character" w:customStyle="1" w:styleId="335">
    <w:name w:val="页眉 Char1"/>
    <w:autoRedefine/>
    <w:qFormat/>
    <w:uiPriority w:val="0"/>
    <w:rPr>
      <w:rFonts w:eastAsia="宋体"/>
      <w:kern w:val="2"/>
      <w:sz w:val="18"/>
      <w:szCs w:val="18"/>
      <w:lang w:val="en-US" w:eastAsia="zh-CN" w:bidi="ar-SA"/>
    </w:rPr>
  </w:style>
  <w:style w:type="character" w:customStyle="1" w:styleId="336">
    <w:name w:val="题注 Char"/>
    <w:autoRedefine/>
    <w:qFormat/>
    <w:uiPriority w:val="0"/>
    <w:rPr>
      <w:rFonts w:ascii="Cambria" w:hAnsi="Cambria" w:eastAsia="黑体"/>
      <w:kern w:val="2"/>
      <w:lang w:bidi="ar-SA"/>
    </w:rPr>
  </w:style>
  <w:style w:type="character" w:customStyle="1" w:styleId="337">
    <w:name w:val="样式 标题 3 + 小四 Char"/>
    <w:autoRedefine/>
    <w:qFormat/>
    <w:uiPriority w:val="0"/>
    <w:rPr>
      <w:rFonts w:ascii="宋体" w:hAnsi="宋体" w:cs="Arial"/>
      <w:b/>
      <w:bCs/>
      <w:smallCaps/>
      <w:sz w:val="24"/>
      <w:lang w:val="en-US" w:eastAsia="zh-CN"/>
    </w:rPr>
  </w:style>
  <w:style w:type="character" w:customStyle="1" w:styleId="338">
    <w:name w:val="unnamed21"/>
    <w:autoRedefine/>
    <w:qFormat/>
    <w:uiPriority w:val="0"/>
    <w:rPr>
      <w:color w:val="CC6633"/>
      <w:u w:val="none"/>
    </w:rPr>
  </w:style>
  <w:style w:type="character" w:customStyle="1" w:styleId="339">
    <w:name w:val="16"/>
    <w:autoRedefine/>
    <w:qFormat/>
    <w:uiPriority w:val="0"/>
    <w:rPr>
      <w:rFonts w:hint="eastAsia" w:ascii="宋体" w:hAnsi="宋体" w:eastAsia="宋体" w:cs="Arial"/>
      <w:b/>
      <w:bCs/>
      <w:smallCaps/>
      <w:kern w:val="2"/>
      <w:sz w:val="24"/>
      <w:szCs w:val="24"/>
    </w:rPr>
  </w:style>
  <w:style w:type="character" w:customStyle="1" w:styleId="340">
    <w:name w:val="正文文本缩进 字符"/>
    <w:autoRedefine/>
    <w:qFormat/>
    <w:uiPriority w:val="0"/>
    <w:rPr>
      <w:rFonts w:eastAsia="宋体"/>
      <w:kern w:val="2"/>
      <w:sz w:val="24"/>
      <w:lang w:bidi="ar-SA"/>
    </w:rPr>
  </w:style>
  <w:style w:type="character" w:customStyle="1" w:styleId="341">
    <w:name w:val="Char Char8"/>
    <w:autoRedefine/>
    <w:qFormat/>
    <w:uiPriority w:val="0"/>
    <w:rPr>
      <w:rFonts w:hint="default" w:ascii="Calibri" w:hAnsi="Calibri" w:eastAsia="宋体"/>
      <w:kern w:val="2"/>
      <w:sz w:val="21"/>
      <w:szCs w:val="22"/>
      <w:lang w:val="en-US" w:eastAsia="zh-CN" w:bidi="ar-SA"/>
    </w:rPr>
  </w:style>
  <w:style w:type="character" w:customStyle="1" w:styleId="342">
    <w:name w:val="H3 Char1"/>
    <w:autoRedefine/>
    <w:qFormat/>
    <w:uiPriority w:val="0"/>
    <w:rPr>
      <w:rFonts w:ascii="仿宋_GB2312" w:eastAsia="仿宋_GB2312"/>
      <w:b/>
      <w:bCs/>
      <w:color w:val="000000"/>
      <w:kern w:val="2"/>
      <w:sz w:val="32"/>
      <w:szCs w:val="32"/>
    </w:rPr>
  </w:style>
  <w:style w:type="character" w:customStyle="1" w:styleId="343">
    <w:name w:val="Char Char1"/>
    <w:autoRedefine/>
    <w:qFormat/>
    <w:uiPriority w:val="0"/>
    <w:rPr>
      <w:rFonts w:hint="eastAsia" w:ascii="宋体" w:hAnsi="宋体" w:eastAsia="宋体"/>
      <w:kern w:val="2"/>
      <w:sz w:val="21"/>
      <w:szCs w:val="24"/>
      <w:lang w:val="en-US" w:eastAsia="zh-CN" w:bidi="ar-SA"/>
    </w:rPr>
  </w:style>
  <w:style w:type="character" w:customStyle="1" w:styleId="344">
    <w:name w:val="Char Char10"/>
    <w:autoRedefine/>
    <w:qFormat/>
    <w:uiPriority w:val="0"/>
    <w:rPr>
      <w:rFonts w:eastAsia="宋体"/>
      <w:kern w:val="2"/>
      <w:sz w:val="18"/>
      <w:szCs w:val="18"/>
      <w:lang w:val="en-US" w:eastAsia="zh-CN" w:bidi="ar-SA"/>
    </w:rPr>
  </w:style>
  <w:style w:type="character" w:customStyle="1" w:styleId="345">
    <w:name w:val="文档正文 Char"/>
    <w:link w:val="346"/>
    <w:autoRedefine/>
    <w:qFormat/>
    <w:uiPriority w:val="0"/>
    <w:rPr>
      <w:rFonts w:ascii="Arial" w:hAnsi="Arial" w:cs="Arial"/>
      <w:bCs/>
      <w:kern w:val="2"/>
      <w:sz w:val="24"/>
      <w:szCs w:val="24"/>
    </w:rPr>
  </w:style>
  <w:style w:type="paragraph" w:customStyle="1" w:styleId="346">
    <w:name w:val="文档正文"/>
    <w:basedOn w:val="1"/>
    <w:link w:val="345"/>
    <w:autoRedefine/>
    <w:qFormat/>
    <w:uiPriority w:val="0"/>
    <w:rPr>
      <w:rFonts w:ascii="Arial" w:hAnsi="Arial" w:cs="Arial"/>
      <w:bCs/>
      <w:sz w:val="24"/>
    </w:rPr>
  </w:style>
  <w:style w:type="character" w:customStyle="1" w:styleId="347">
    <w:name w:val="正文文本 2 Char2"/>
    <w:basedOn w:val="52"/>
    <w:autoRedefine/>
    <w:semiHidden/>
    <w:qFormat/>
    <w:uiPriority w:val="0"/>
    <w:rPr>
      <w:kern w:val="2"/>
      <w:sz w:val="21"/>
      <w:szCs w:val="24"/>
    </w:rPr>
  </w:style>
  <w:style w:type="character" w:customStyle="1" w:styleId="348">
    <w:name w:val="标题 字符1"/>
    <w:basedOn w:val="52"/>
    <w:autoRedefine/>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autoRedefine/>
    <w:qFormat/>
    <w:uiPriority w:val="0"/>
    <w:rPr>
      <w:kern w:val="2"/>
      <w:sz w:val="21"/>
      <w:szCs w:val="24"/>
    </w:rPr>
  </w:style>
  <w:style w:type="character" w:customStyle="1" w:styleId="350">
    <w:name w:val="签名 Char2"/>
    <w:basedOn w:val="52"/>
    <w:autoRedefine/>
    <w:semiHidden/>
    <w:qFormat/>
    <w:uiPriority w:val="0"/>
    <w:rPr>
      <w:kern w:val="2"/>
      <w:sz w:val="21"/>
      <w:szCs w:val="24"/>
    </w:rPr>
  </w:style>
  <w:style w:type="character" w:customStyle="1" w:styleId="351">
    <w:name w:val="正文文本缩进 3 Char2"/>
    <w:basedOn w:val="52"/>
    <w:autoRedefine/>
    <w:semiHidden/>
    <w:qFormat/>
    <w:uiPriority w:val="0"/>
    <w:rPr>
      <w:kern w:val="2"/>
      <w:sz w:val="16"/>
      <w:szCs w:val="16"/>
    </w:rPr>
  </w:style>
  <w:style w:type="character" w:customStyle="1" w:styleId="352">
    <w:name w:val="日期 Char2"/>
    <w:basedOn w:val="52"/>
    <w:autoRedefine/>
    <w:semiHidden/>
    <w:qFormat/>
    <w:uiPriority w:val="0"/>
    <w:rPr>
      <w:kern w:val="2"/>
      <w:sz w:val="21"/>
      <w:szCs w:val="24"/>
    </w:rPr>
  </w:style>
  <w:style w:type="paragraph" w:customStyle="1" w:styleId="353">
    <w:name w:val="Default Paragraph Font Para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autoRedefine/>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autoRedefine/>
    <w:qFormat/>
    <w:uiPriority w:val="0"/>
    <w:pPr>
      <w:widowControl/>
      <w:jc w:val="center"/>
    </w:pPr>
    <w:rPr>
      <w:rFonts w:ascii="Arial" w:hAnsi="Arial"/>
      <w:b/>
      <w:kern w:val="0"/>
      <w:sz w:val="18"/>
      <w:szCs w:val="20"/>
    </w:rPr>
  </w:style>
  <w:style w:type="paragraph" w:customStyle="1" w:styleId="359">
    <w:name w:val="4"/>
    <w:basedOn w:val="1"/>
    <w:next w:val="1"/>
    <w:autoRedefine/>
    <w:qFormat/>
    <w:uiPriority w:val="0"/>
  </w:style>
  <w:style w:type="paragraph" w:customStyle="1" w:styleId="360">
    <w:name w:val="xl2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autoRedefine/>
    <w:qFormat/>
    <w:uiPriority w:val="0"/>
    <w:pPr>
      <w:spacing w:line="360" w:lineRule="auto"/>
      <w:ind w:firstLine="200" w:firstLineChars="200"/>
    </w:pPr>
    <w:rPr>
      <w:szCs w:val="20"/>
    </w:rPr>
  </w:style>
  <w:style w:type="paragraph" w:customStyle="1" w:styleId="362">
    <w:name w:val="样式 标题 5H5dashdsddh5PIM 5口一heading 5Titre5Table label...3"/>
    <w:basedOn w:val="6"/>
    <w:autoRedefine/>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autoRedefine/>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autoRedefine/>
    <w:qFormat/>
    <w:uiPriority w:val="0"/>
    <w:pPr>
      <w:tabs>
        <w:tab w:val="right" w:leader="dot" w:pos="9458"/>
      </w:tabs>
    </w:pPr>
    <w:rPr>
      <w:rFonts w:ascii="Arial" w:cs="Arial"/>
      <w:i/>
    </w:rPr>
  </w:style>
  <w:style w:type="paragraph" w:customStyle="1" w:styleId="365">
    <w:name w:val="xl3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autoRedefine/>
    <w:qFormat/>
    <w:uiPriority w:val="0"/>
    <w:pPr>
      <w:keepLines/>
      <w:widowControl/>
      <w:spacing w:beforeLines="50" w:afterLines="50" w:line="300" w:lineRule="auto"/>
    </w:pPr>
    <w:rPr>
      <w:rFonts w:ascii="Arial" w:hAnsi="Arial"/>
      <w:bCs/>
    </w:rPr>
  </w:style>
  <w:style w:type="paragraph" w:customStyle="1" w:styleId="367">
    <w:name w:val="样式5"/>
    <w:basedOn w:val="368"/>
    <w:next w:val="368"/>
    <w:autoRedefine/>
    <w:qFormat/>
    <w:uiPriority w:val="0"/>
    <w:pPr>
      <w:tabs>
        <w:tab w:val="right" w:leader="dot" w:pos="9458"/>
      </w:tabs>
    </w:pPr>
  </w:style>
  <w:style w:type="paragraph" w:customStyle="1" w:styleId="368">
    <w:name w:val="样式4"/>
    <w:basedOn w:val="34"/>
    <w:autoRedefine/>
    <w:qFormat/>
    <w:uiPriority w:val="0"/>
    <w:pPr>
      <w:tabs>
        <w:tab w:val="right" w:leader="dot" w:pos="9458"/>
      </w:tabs>
    </w:pPr>
    <w:rPr>
      <w:b w:val="0"/>
    </w:rPr>
  </w:style>
  <w:style w:type="paragraph" w:customStyle="1" w:styleId="369">
    <w:name w:val="TOC 标题1"/>
    <w:basedOn w:val="2"/>
    <w:next w:val="1"/>
    <w:autoRedefine/>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autoRedefine/>
    <w:qFormat/>
    <w:uiPriority w:val="0"/>
    <w:pPr>
      <w:widowControl/>
      <w:jc w:val="center"/>
    </w:pPr>
    <w:rPr>
      <w:rFonts w:ascii="Arial" w:hAnsi="Arial"/>
      <w:snapToGrid w:val="0"/>
      <w:kern w:val="0"/>
      <w:sz w:val="18"/>
      <w:szCs w:val="20"/>
    </w:rPr>
  </w:style>
  <w:style w:type="paragraph" w:customStyle="1" w:styleId="374">
    <w:name w:val="xl44"/>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autoRedefine/>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autoRedefine/>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autoRedefine/>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autoRedefine/>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autoRedefine/>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autoRedefine/>
    <w:qFormat/>
    <w:uiPriority w:val="0"/>
    <w:pPr>
      <w:ind w:firstLine="567"/>
    </w:pPr>
    <w:rPr>
      <w:spacing w:val="20"/>
      <w:sz w:val="24"/>
      <w:szCs w:val="20"/>
    </w:rPr>
  </w:style>
  <w:style w:type="paragraph" w:customStyle="1" w:styleId="385">
    <w:name w:val="_正文"/>
    <w:basedOn w:val="1"/>
    <w:autoRedefine/>
    <w:qFormat/>
    <w:uiPriority w:val="99"/>
    <w:pPr>
      <w:spacing w:line="360" w:lineRule="auto"/>
      <w:ind w:firstLine="200" w:firstLineChars="200"/>
    </w:pPr>
    <w:rPr>
      <w:rFonts w:ascii="宋体" w:hAnsi="宋体"/>
      <w:sz w:val="24"/>
    </w:rPr>
  </w:style>
  <w:style w:type="paragraph" w:customStyle="1" w:styleId="386">
    <w:name w:val="xl46"/>
    <w:basedOn w:val="1"/>
    <w:autoRedefine/>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autoRedefine/>
    <w:qFormat/>
    <w:uiPriority w:val="0"/>
    <w:pPr>
      <w:ind w:firstLine="420" w:firstLineChars="200"/>
    </w:pPr>
    <w:rPr>
      <w:rFonts w:ascii="仿宋_GB2312" w:eastAsia="仿宋_GB2312" w:cs="宋体"/>
      <w:spacing w:val="6"/>
      <w:sz w:val="30"/>
      <w:szCs w:val="30"/>
    </w:rPr>
  </w:style>
  <w:style w:type="paragraph" w:customStyle="1" w:styleId="388">
    <w:name w:val="_Style 15"/>
    <w:basedOn w:val="1"/>
    <w:autoRedefine/>
    <w:qFormat/>
    <w:uiPriority w:val="0"/>
  </w:style>
  <w:style w:type="paragraph" w:customStyle="1" w:styleId="389">
    <w:name w:val="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autoRedefine/>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autoRedefine/>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autoRedefine/>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autoRedefine/>
    <w:qFormat/>
    <w:uiPriority w:val="0"/>
    <w:pPr>
      <w:ind w:left="572" w:right="32" w:firstLine="478"/>
    </w:pPr>
    <w:rPr>
      <w:szCs w:val="21"/>
    </w:rPr>
  </w:style>
  <w:style w:type="paragraph" w:customStyle="1" w:styleId="397">
    <w:name w:val="Bullet w/Single Space"/>
    <w:basedOn w:val="1"/>
    <w:autoRedefine/>
    <w:qFormat/>
    <w:uiPriority w:val="0"/>
    <w:pPr>
      <w:widowControl/>
      <w:numPr>
        <w:ilvl w:val="0"/>
        <w:numId w:val="3"/>
      </w:numPr>
      <w:ind w:left="720"/>
      <w:jc w:val="left"/>
    </w:pPr>
    <w:rPr>
      <w:kern w:val="0"/>
      <w:sz w:val="24"/>
      <w:szCs w:val="20"/>
      <w:lang w:eastAsia="en-US"/>
    </w:rPr>
  </w:style>
  <w:style w:type="paragraph" w:customStyle="1" w:styleId="398">
    <w:name w:val="正文样式"/>
    <w:basedOn w:val="1"/>
    <w:autoRedefine/>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autoRedefine/>
    <w:qFormat/>
    <w:uiPriority w:val="0"/>
    <w:pPr>
      <w:spacing w:line="360" w:lineRule="auto"/>
      <w:ind w:hanging="420"/>
      <w:jc w:val="center"/>
    </w:pPr>
    <w:rPr>
      <w:sz w:val="24"/>
      <w:szCs w:val="20"/>
    </w:rPr>
  </w:style>
  <w:style w:type="paragraph" w:customStyle="1" w:styleId="400">
    <w:name w:val="font0"/>
    <w:basedOn w:val="1"/>
    <w:autoRedefine/>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autoRedefine/>
    <w:qFormat/>
    <w:uiPriority w:val="0"/>
  </w:style>
  <w:style w:type="paragraph" w:customStyle="1" w:styleId="402">
    <w:name w:val="z1"/>
    <w:basedOn w:val="1"/>
    <w:autoRedefine/>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autoRedefine/>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autoRedefine/>
    <w:qFormat/>
    <w:uiPriority w:val="0"/>
  </w:style>
  <w:style w:type="paragraph" w:customStyle="1" w:styleId="405">
    <w:name w:val="xl4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autoRedefine/>
    <w:qFormat/>
    <w:uiPriority w:val="0"/>
    <w:pPr>
      <w:tabs>
        <w:tab w:val="right" w:leader="dot" w:pos="9458"/>
      </w:tabs>
    </w:pPr>
    <w:rPr>
      <w:i/>
    </w:rPr>
  </w:style>
  <w:style w:type="paragraph" w:customStyle="1" w:styleId="407">
    <w:name w:val="msolistparagraph"/>
    <w:basedOn w:val="1"/>
    <w:autoRedefine/>
    <w:qFormat/>
    <w:uiPriority w:val="0"/>
    <w:pPr>
      <w:ind w:firstLine="420" w:firstLineChars="200"/>
    </w:pPr>
    <w:rPr>
      <w:rFonts w:ascii="Calibri" w:hAnsi="Calibri"/>
      <w:szCs w:val="22"/>
    </w:rPr>
  </w:style>
  <w:style w:type="paragraph" w:customStyle="1" w:styleId="408">
    <w:name w:val="Char Char16 Char Char"/>
    <w:basedOn w:val="1"/>
    <w:autoRedefine/>
    <w:qFormat/>
    <w:uiPriority w:val="0"/>
    <w:rPr>
      <w:rFonts w:ascii="Tahoma" w:hAnsi="Tahoma"/>
      <w:sz w:val="24"/>
      <w:szCs w:val="20"/>
    </w:rPr>
  </w:style>
  <w:style w:type="paragraph" w:customStyle="1" w:styleId="409">
    <w:name w:val="正文内容"/>
    <w:basedOn w:val="1"/>
    <w:autoRedefine/>
    <w:qFormat/>
    <w:uiPriority w:val="0"/>
    <w:rPr>
      <w:rFonts w:ascii="Arial" w:hAnsi="Arial"/>
      <w:spacing w:val="-12"/>
      <w:szCs w:val="20"/>
    </w:rPr>
  </w:style>
  <w:style w:type="paragraph" w:customStyle="1" w:styleId="410">
    <w:name w:val="xl2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autoRedefine/>
    <w:qFormat/>
    <w:uiPriority w:val="0"/>
    <w:rPr>
      <w:rFonts w:ascii="Times New Roman" w:hAnsi="Times New Roman" w:eastAsia="宋体" w:cs="Times New Roman"/>
      <w:lang w:val="en-US" w:eastAsia="zh-CN" w:bidi="ar-SA"/>
    </w:rPr>
  </w:style>
  <w:style w:type="paragraph" w:customStyle="1" w:styleId="413">
    <w:name w:val="图"/>
    <w:basedOn w:val="1"/>
    <w:autoRedefine/>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autoRedefine/>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autoRedefine/>
    <w:qFormat/>
    <w:uiPriority w:val="0"/>
  </w:style>
  <w:style w:type="paragraph" w:customStyle="1" w:styleId="419">
    <w:name w:val="xl3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autoRedefine/>
    <w:qFormat/>
    <w:uiPriority w:val="0"/>
    <w:pPr>
      <w:spacing w:before="120" w:after="120"/>
    </w:pPr>
    <w:rPr>
      <w:rFonts w:ascii="宋体"/>
      <w:b/>
      <w:sz w:val="28"/>
    </w:rPr>
  </w:style>
  <w:style w:type="paragraph" w:customStyle="1" w:styleId="422">
    <w:name w:val="xl49"/>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autoRedefine/>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autoRedefine/>
    <w:qFormat/>
    <w:uiPriority w:val="0"/>
    <w:pPr>
      <w:ind w:left="980" w:hanging="420"/>
    </w:pPr>
    <w:rPr>
      <w:sz w:val="24"/>
    </w:rPr>
  </w:style>
  <w:style w:type="paragraph" w:customStyle="1" w:styleId="426">
    <w:name w:val="xl47"/>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autoRedefine/>
    <w:qFormat/>
    <w:uiPriority w:val="0"/>
    <w:pPr>
      <w:ind w:firstLine="480" w:firstLineChars="200"/>
    </w:pPr>
    <w:rPr>
      <w:rFonts w:cs="宋体"/>
      <w:szCs w:val="20"/>
    </w:rPr>
  </w:style>
  <w:style w:type="paragraph" w:customStyle="1" w:styleId="429">
    <w:name w:val="xl3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autoRedefine/>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autoRedefine/>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autoRedefine/>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autoRedefine/>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autoRedefine/>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autoRedefine/>
    <w:qFormat/>
    <w:uiPriority w:val="34"/>
    <w:rPr>
      <w:kern w:val="2"/>
      <w:sz w:val="21"/>
      <w:szCs w:val="24"/>
    </w:rPr>
  </w:style>
  <w:style w:type="paragraph" w:styleId="455">
    <w:name w:val="List Paragraph"/>
    <w:basedOn w:val="1"/>
    <w:link w:val="454"/>
    <w:autoRedefine/>
    <w:qFormat/>
    <w:uiPriority w:val="34"/>
    <w:pPr>
      <w:ind w:firstLine="420" w:firstLineChars="200"/>
    </w:pPr>
  </w:style>
  <w:style w:type="paragraph" w:customStyle="1" w:styleId="456">
    <w:name w:val="yiv1649619028msonormal"/>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autoRedefine/>
    <w:qFormat/>
    <w:uiPriority w:val="0"/>
    <w:pPr>
      <w:spacing w:afterLines="20"/>
      <w:ind w:firstLine="1446" w:firstLineChars="200"/>
    </w:pPr>
    <w:rPr>
      <w:rFonts w:ascii="Calibri" w:hAnsi="Calibri"/>
      <w:sz w:val="24"/>
    </w:rPr>
  </w:style>
  <w:style w:type="character" w:customStyle="1" w:styleId="458">
    <w:name w:val="正文文本 3 Char"/>
    <w:basedOn w:val="52"/>
    <w:link w:val="19"/>
    <w:autoRedefine/>
    <w:qFormat/>
    <w:uiPriority w:val="0"/>
    <w:rPr>
      <w:kern w:val="2"/>
      <w:sz w:val="16"/>
      <w:szCs w:val="16"/>
    </w:rPr>
  </w:style>
  <w:style w:type="character" w:customStyle="1" w:styleId="459">
    <w:name w:val="content"/>
    <w:basedOn w:val="52"/>
    <w:autoRedefine/>
    <w:qFormat/>
    <w:uiPriority w:val="0"/>
  </w:style>
  <w:style w:type="character" w:customStyle="1" w:styleId="460">
    <w:name w:val="ca-3"/>
    <w:basedOn w:val="52"/>
    <w:autoRedefine/>
    <w:qFormat/>
    <w:uiPriority w:val="0"/>
  </w:style>
  <w:style w:type="character" w:customStyle="1" w:styleId="461">
    <w:name w:val="textcontents1"/>
    <w:autoRedefine/>
    <w:qFormat/>
    <w:uiPriority w:val="0"/>
    <w:rPr>
      <w:rFonts w:hint="default" w:ascii="ˎ̥" w:hAnsi="ˎ̥"/>
      <w:sz w:val="21"/>
      <w:szCs w:val="21"/>
    </w:rPr>
  </w:style>
  <w:style w:type="character" w:customStyle="1" w:styleId="462">
    <w:name w:val="脚注文本 Char1"/>
    <w:autoRedefine/>
    <w:qFormat/>
    <w:uiPriority w:val="0"/>
    <w:rPr>
      <w:kern w:val="2"/>
      <w:sz w:val="18"/>
      <w:szCs w:val="18"/>
    </w:rPr>
  </w:style>
  <w:style w:type="character" w:customStyle="1" w:styleId="463">
    <w:name w:val="脚注文本 Char"/>
    <w:link w:val="38"/>
    <w:autoRedefine/>
    <w:qFormat/>
    <w:uiPriority w:val="0"/>
    <w:rPr>
      <w:kern w:val="2"/>
      <w:sz w:val="18"/>
      <w:szCs w:val="18"/>
    </w:rPr>
  </w:style>
  <w:style w:type="character" w:customStyle="1" w:styleId="464">
    <w:name w:val="正文首行缩进（绿盟科技） Char"/>
    <w:link w:val="465"/>
    <w:autoRedefine/>
    <w:qFormat/>
    <w:uiPriority w:val="0"/>
    <w:rPr>
      <w:rFonts w:ascii="Arial" w:hAnsi="Arial"/>
      <w:szCs w:val="21"/>
    </w:rPr>
  </w:style>
  <w:style w:type="paragraph" w:customStyle="1" w:styleId="465">
    <w:name w:val="正文首行缩进（绿盟科技）"/>
    <w:basedOn w:val="1"/>
    <w:link w:val="464"/>
    <w:autoRedefine/>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autoRedefine/>
    <w:qFormat/>
    <w:uiPriority w:val="0"/>
  </w:style>
  <w:style w:type="character" w:customStyle="1" w:styleId="467">
    <w:name w:val="Char Char21"/>
    <w:autoRedefine/>
    <w:qFormat/>
    <w:uiPriority w:val="0"/>
    <w:rPr>
      <w:b/>
      <w:bCs/>
      <w:kern w:val="2"/>
      <w:sz w:val="32"/>
      <w:szCs w:val="32"/>
    </w:rPr>
  </w:style>
  <w:style w:type="character" w:customStyle="1" w:styleId="468">
    <w:name w:val="content1"/>
    <w:autoRedefine/>
    <w:qFormat/>
    <w:uiPriority w:val="0"/>
    <w:rPr>
      <w:rFonts w:hint="default" w:ascii="??" w:hAnsi="??"/>
      <w:sz w:val="16"/>
      <w:szCs w:val="16"/>
      <w:u w:val="none"/>
    </w:rPr>
  </w:style>
  <w:style w:type="character" w:customStyle="1" w:styleId="469">
    <w:name w:val="text21"/>
    <w:basedOn w:val="52"/>
    <w:autoRedefine/>
    <w:qFormat/>
    <w:uiPriority w:val="0"/>
  </w:style>
  <w:style w:type="character" w:customStyle="1" w:styleId="470">
    <w:name w:val="apple-style-span"/>
    <w:basedOn w:val="52"/>
    <w:autoRedefine/>
    <w:qFormat/>
    <w:uiPriority w:val="0"/>
  </w:style>
  <w:style w:type="paragraph" w:customStyle="1" w:styleId="471">
    <w:name w:val="缺省文本"/>
    <w:basedOn w:val="1"/>
    <w:autoRedefine/>
    <w:qFormat/>
    <w:uiPriority w:val="0"/>
    <w:pPr>
      <w:autoSpaceDE w:val="0"/>
      <w:autoSpaceDN w:val="0"/>
      <w:adjustRightInd w:val="0"/>
      <w:jc w:val="left"/>
    </w:pPr>
    <w:rPr>
      <w:kern w:val="0"/>
      <w:sz w:val="24"/>
    </w:rPr>
  </w:style>
  <w:style w:type="paragraph" w:customStyle="1" w:styleId="472">
    <w:name w:val="xl62"/>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autoRedefine/>
    <w:qFormat/>
    <w:uiPriority w:val="0"/>
    <w:rPr>
      <w:rFonts w:ascii="宋体" w:hAnsi="Courier New"/>
      <w:szCs w:val="20"/>
    </w:rPr>
  </w:style>
  <w:style w:type="paragraph" w:customStyle="1" w:styleId="474">
    <w:name w:val="xl57"/>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autoRedefine/>
    <w:qFormat/>
    <w:uiPriority w:val="0"/>
    <w:pPr>
      <w:widowControl/>
      <w:spacing w:after="160" w:line="240" w:lineRule="exact"/>
      <w:jc w:val="left"/>
    </w:pPr>
  </w:style>
  <w:style w:type="paragraph" w:customStyle="1" w:styleId="476">
    <w:name w:val="USE 1"/>
    <w:basedOn w:val="1"/>
    <w:autoRedefine/>
    <w:qFormat/>
    <w:uiPriority w:val="0"/>
    <w:pPr>
      <w:spacing w:line="200" w:lineRule="atLeast"/>
      <w:jc w:val="left"/>
    </w:pPr>
    <w:rPr>
      <w:rFonts w:ascii="宋体" w:hAnsi="宋体"/>
      <w:b/>
      <w:sz w:val="24"/>
      <w:szCs w:val="28"/>
    </w:rPr>
  </w:style>
  <w:style w:type="paragraph" w:customStyle="1" w:styleId="477">
    <w:name w:val="xl6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autoRedefine/>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autoRedefine/>
    <w:qFormat/>
    <w:uiPriority w:val="0"/>
    <w:rPr>
      <w:rFonts w:ascii="宋体" w:hAnsi="Courier New"/>
      <w:szCs w:val="20"/>
    </w:rPr>
  </w:style>
  <w:style w:type="character" w:customStyle="1" w:styleId="481">
    <w:name w:val="脚注文本 Char2"/>
    <w:basedOn w:val="52"/>
    <w:link w:val="38"/>
    <w:autoRedefine/>
    <w:semiHidden/>
    <w:qFormat/>
    <w:uiPriority w:val="0"/>
    <w:rPr>
      <w:kern w:val="2"/>
      <w:sz w:val="18"/>
      <w:szCs w:val="18"/>
    </w:rPr>
  </w:style>
  <w:style w:type="paragraph" w:customStyle="1" w:styleId="482">
    <w:name w:val="_Style 56"/>
    <w:basedOn w:val="1"/>
    <w:next w:val="26"/>
    <w:autoRedefine/>
    <w:qFormat/>
    <w:uiPriority w:val="0"/>
    <w:rPr>
      <w:rFonts w:ascii="宋体" w:hAnsi="Courier New"/>
      <w:szCs w:val="20"/>
    </w:rPr>
  </w:style>
  <w:style w:type="paragraph" w:customStyle="1" w:styleId="483">
    <w:name w:val="Char Char Char Char2"/>
    <w:basedOn w:val="1"/>
    <w:autoRedefine/>
    <w:qFormat/>
    <w:uiPriority w:val="0"/>
    <w:pPr>
      <w:widowControl/>
      <w:spacing w:after="160" w:line="240" w:lineRule="exact"/>
      <w:jc w:val="center"/>
    </w:pPr>
  </w:style>
  <w:style w:type="paragraph" w:customStyle="1" w:styleId="484">
    <w:name w:val="font10"/>
    <w:basedOn w:val="1"/>
    <w:autoRedefine/>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autoRedefine/>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autoRedefine/>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autoRedefine/>
    <w:qFormat/>
    <w:uiPriority w:val="0"/>
    <w:pPr>
      <w:widowControl/>
      <w:spacing w:after="160" w:line="240" w:lineRule="exact"/>
      <w:jc w:val="left"/>
    </w:pPr>
  </w:style>
  <w:style w:type="paragraph" w:customStyle="1" w:styleId="490">
    <w:name w:val="_Style 50"/>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491">
    <w:name w:val="修订2"/>
    <w:autoRedefine/>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autoRedefine/>
    <w:qFormat/>
    <w:uiPriority w:val="0"/>
    <w:rPr>
      <w:rFonts w:ascii="宋体" w:hAnsi="Courier New"/>
      <w:szCs w:val="20"/>
    </w:rPr>
  </w:style>
  <w:style w:type="paragraph" w:customStyle="1" w:styleId="495">
    <w:name w:val="Char Char Char"/>
    <w:basedOn w:val="1"/>
    <w:autoRedefine/>
    <w:qFormat/>
    <w:uiPriority w:val="0"/>
    <w:rPr>
      <w:szCs w:val="20"/>
    </w:rPr>
  </w:style>
  <w:style w:type="paragraph" w:customStyle="1" w:styleId="496">
    <w:name w:val="Char2"/>
    <w:basedOn w:val="1"/>
    <w:autoRedefine/>
    <w:qFormat/>
    <w:uiPriority w:val="0"/>
    <w:rPr>
      <w:rFonts w:ascii="Tahoma" w:hAnsi="Tahoma"/>
      <w:sz w:val="24"/>
      <w:szCs w:val="20"/>
    </w:rPr>
  </w:style>
  <w:style w:type="paragraph" w:customStyle="1" w:styleId="497">
    <w:name w:val="xl5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autoRedefine/>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autoRedefine/>
    <w:qFormat/>
    <w:uiPriority w:val="0"/>
    <w:rPr>
      <w:rFonts w:ascii="宋体" w:hAnsi="Courier New"/>
      <w:szCs w:val="20"/>
    </w:rPr>
  </w:style>
  <w:style w:type="paragraph" w:customStyle="1" w:styleId="501">
    <w:name w:val="2"/>
    <w:basedOn w:val="1"/>
    <w:next w:val="45"/>
    <w:autoRedefine/>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autoRedefine/>
    <w:qFormat/>
    <w:uiPriority w:val="0"/>
    <w:pPr>
      <w:adjustRightInd w:val="0"/>
      <w:snapToGrid w:val="0"/>
      <w:spacing w:line="300" w:lineRule="auto"/>
      <w:ind w:firstLine="630" w:firstLineChars="300"/>
    </w:pPr>
    <w:rPr>
      <w:snapToGrid w:val="0"/>
      <w:kern w:val="0"/>
    </w:rPr>
  </w:style>
  <w:style w:type="paragraph" w:customStyle="1" w:styleId="503">
    <w:name w:val="xl52"/>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autoRedefine/>
    <w:qFormat/>
    <w:uiPriority w:val="0"/>
    <w:rPr>
      <w:rFonts w:ascii="宋体" w:hAnsi="宋体" w:cs="宋体"/>
      <w:snapToGrid w:val="0"/>
      <w:spacing w:val="4"/>
      <w:kern w:val="2"/>
      <w:sz w:val="24"/>
      <w:szCs w:val="24"/>
    </w:rPr>
  </w:style>
  <w:style w:type="paragraph" w:customStyle="1" w:styleId="506">
    <w:name w:val="Ｒ07-正!!文"/>
    <w:link w:val="505"/>
    <w:autoRedefine/>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autoRedefine/>
    <w:qFormat/>
    <w:uiPriority w:val="0"/>
    <w:rPr>
      <w:rFonts w:ascii="宋体" w:hAnsi="宋体" w:cs="宋体"/>
      <w:snapToGrid w:val="0"/>
      <w:spacing w:val="8"/>
      <w:kern w:val="2"/>
      <w:sz w:val="24"/>
      <w:szCs w:val="24"/>
    </w:rPr>
  </w:style>
  <w:style w:type="paragraph" w:customStyle="1" w:styleId="508">
    <w:name w:val="Ｒ07-!正!"/>
    <w:link w:val="507"/>
    <w:autoRedefine/>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character" w:customStyle="1" w:styleId="509">
    <w:name w:val="批注文字 字符1"/>
    <w:basedOn w:val="52"/>
    <w:link w:val="18"/>
    <w:autoRedefine/>
    <w:qFormat/>
    <w:uiPriority w:val="0"/>
    <w:rPr>
      <w:kern w:val="2"/>
      <w:sz w:val="21"/>
      <w:szCs w:val="24"/>
    </w:rPr>
  </w:style>
  <w:style w:type="character" w:customStyle="1" w:styleId="510">
    <w:name w:val="10"/>
    <w:basedOn w:val="52"/>
    <w:autoRedefine/>
    <w:qFormat/>
    <w:uiPriority w:val="0"/>
    <w:rPr>
      <w:rFonts w:hint="default" w:ascii="Times New Roman" w:hAnsi="Times New Roman" w:cs="Times New Roman"/>
    </w:rPr>
  </w:style>
  <w:style w:type="character" w:customStyle="1" w:styleId="511">
    <w:name w:val="15"/>
    <w:basedOn w:val="52"/>
    <w:autoRedefine/>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89BCC2-52E6-4BF5-A498-3ABED31EFC5A}">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75</Pages>
  <Words>46476</Words>
  <Characters>49713</Characters>
  <Lines>1</Lines>
  <Paragraphs>1</Paragraphs>
  <TotalTime>20</TotalTime>
  <ScaleCrop>false</ScaleCrop>
  <LinksUpToDate>false</LinksUpToDate>
  <CharactersWithSpaces>52145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中正招标-李工</cp:lastModifiedBy>
  <cp:lastPrinted>2020-05-26T01:03:00Z</cp:lastPrinted>
  <dcterms:modified xsi:type="dcterms:W3CDTF">2024-04-10T03:28:27Z</dcterms:modified>
  <dc:title>招标编号：UHO2010-G0029</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9C1B58801C1F47C7860D247BFDC75DCE_13</vt:lpwstr>
  </property>
</Properties>
</file>